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8F" w:rsidRPr="00FA089A" w:rsidRDefault="003E5A8F" w:rsidP="00FA089A">
      <w:pPr>
        <w:pStyle w:val="BodyText"/>
        <w:ind w:right="332"/>
        <w:jc w:val="center"/>
        <w:rPr>
          <w:rFonts w:ascii="Bookman Old Style" w:hAnsi="Bookman Old Style"/>
          <w:b/>
          <w:bCs/>
          <w:color w:val="00B0F0"/>
          <w:sz w:val="36"/>
          <w:szCs w:val="36"/>
          <w:lang w:val="bg-BG"/>
        </w:rPr>
      </w:pPr>
      <w:r w:rsidRPr="00FA089A">
        <w:rPr>
          <w:rFonts w:ascii="Bookman Old Style" w:hAnsi="Bookman Old Style"/>
          <w:b/>
          <w:color w:val="00B0F0"/>
          <w:spacing w:val="-3"/>
          <w:w w:val="85"/>
          <w:sz w:val="36"/>
          <w:szCs w:val="36"/>
          <w:lang w:val="bg-BG"/>
        </w:rPr>
        <w:t>Основен информационен документ</w:t>
      </w:r>
    </w:p>
    <w:p w:rsidR="003E5A8F" w:rsidRPr="002E0F29" w:rsidRDefault="003E5A8F" w:rsidP="00CB6BA7">
      <w:pPr>
        <w:pStyle w:val="BodyText"/>
        <w:ind w:right="332"/>
        <w:rPr>
          <w:rFonts w:ascii="Bookman Old Style" w:hAnsi="Bookman Old Style"/>
          <w:b/>
          <w:bCs/>
          <w:noProof/>
          <w:color w:val="00B0F0"/>
          <w:sz w:val="20"/>
          <w:szCs w:val="20"/>
          <w:lang w:val="bg-BG"/>
        </w:rPr>
      </w:pPr>
    </w:p>
    <w:p w:rsidR="003E5A8F" w:rsidRPr="00A24E76" w:rsidRDefault="003E5A8F" w:rsidP="003E5A8F">
      <w:pPr>
        <w:pStyle w:val="BodyText"/>
        <w:ind w:right="332"/>
        <w:rPr>
          <w:rFonts w:ascii="Bookman Old Style" w:hAnsi="Bookman Old Style" w:cs="Times New Roman"/>
          <w:lang w:val="bg-BG"/>
        </w:rPr>
      </w:pPr>
      <w:r w:rsidRPr="00A24E76">
        <w:rPr>
          <w:rFonts w:ascii="Bookman Old Style" w:hAnsi="Bookman Old Style" w:cs="Times New Roman"/>
          <w:lang w:val="bg-BG"/>
        </w:rPr>
        <w:t>Настоящият документ Ви представя основната информация за този 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</w:t>
      </w:r>
      <w:r w:rsidR="00A24E76" w:rsidRPr="00A24E76">
        <w:rPr>
          <w:rFonts w:ascii="Bookman Old Style" w:hAnsi="Bookman Old Style" w:cs="Times New Roman"/>
          <w:lang w:val="bg-BG"/>
        </w:rPr>
        <w:t xml:space="preserve">губи от този продукт и да Ви </w:t>
      </w:r>
      <w:r w:rsidRPr="00A24E76">
        <w:rPr>
          <w:rFonts w:ascii="Bookman Old Style" w:hAnsi="Bookman Old Style" w:cs="Times New Roman"/>
          <w:lang w:val="bg-BG"/>
        </w:rPr>
        <w:t>помогне да го сравните с други продукти.</w:t>
      </w:r>
    </w:p>
    <w:p w:rsidR="002E0F29" w:rsidRPr="002E0F29" w:rsidRDefault="002E0F29" w:rsidP="003E5A8F">
      <w:pPr>
        <w:pStyle w:val="BodyText"/>
        <w:ind w:right="332"/>
        <w:rPr>
          <w:rFonts w:ascii="Bookman Old Style" w:eastAsia="Arial Narrow" w:hAnsi="Bookman Old Style" w:cs="Arial Narrow"/>
          <w:noProof/>
          <w:sz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3892"/>
      </w:tblGrid>
      <w:tr w:rsidR="00317E13" w:rsidRPr="002E0F29" w:rsidTr="002E0F29">
        <w:tc>
          <w:tcPr>
            <w:tcW w:w="13892" w:type="dxa"/>
            <w:shd w:val="clear" w:color="auto" w:fill="00B0F0"/>
          </w:tcPr>
          <w:p w:rsidR="00317E13" w:rsidRPr="002E0F29" w:rsidRDefault="00FA089A" w:rsidP="00FA089A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ВАЛУТЕН </w:t>
            </w:r>
            <w:r w:rsidR="00317E13" w:rsidRPr="002E0F29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ФОРУЪРД (ПРОДАЖБА)</w:t>
            </w:r>
          </w:p>
        </w:tc>
      </w:tr>
      <w:tr w:rsidR="00824FC3" w:rsidRPr="002E0F29" w:rsidTr="002E0F29">
        <w:trPr>
          <w:trHeight w:val="1233"/>
        </w:trPr>
        <w:tc>
          <w:tcPr>
            <w:tcW w:w="13892" w:type="dxa"/>
            <w:shd w:val="clear" w:color="auto" w:fill="00B0F0"/>
          </w:tcPr>
          <w:p w:rsidR="003E5A8F" w:rsidRPr="00FA089A" w:rsidRDefault="00FA089A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Продуктът е създаден от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: ОББ АД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 xml:space="preserve"> (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8A4018" w:rsidRPr="00FA089A" w:rsidRDefault="00171600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За повече информация се обадете 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на </w:t>
            </w:r>
            <w:r w:rsidR="00D62CBA"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телефон 02 811 2449</w:t>
            </w:r>
          </w:p>
          <w:p w:rsidR="003E5A8F" w:rsidRPr="00FA089A" w:rsidRDefault="003E5A8F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Компетентен орган: Комисия за финансов надзор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(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www.fsc.bg)</w:t>
            </w:r>
          </w:p>
          <w:p w:rsidR="00824FC3" w:rsidRPr="002E0F29" w:rsidRDefault="003E5A8F" w:rsidP="00824FC3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Дата на изготвяне на до</w:t>
            </w:r>
            <w:r w:rsidR="000703FB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кумента с ключова информация: 01 октомври 2020</w:t>
            </w: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г..</w:t>
            </w:r>
          </w:p>
        </w:tc>
      </w:tr>
    </w:tbl>
    <w:p w:rsidR="00C31F63" w:rsidRPr="002E0F29" w:rsidRDefault="00C31F63" w:rsidP="00C31F63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5A8F" w:rsidRPr="00A24E76" w:rsidRDefault="003E5A8F" w:rsidP="003E5A8F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theme="minorHAnsi"/>
          <w:b/>
          <w:sz w:val="16"/>
          <w:szCs w:val="16"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3E5A8F" w:rsidRPr="00A24E76" w:rsidRDefault="003E5A8F" w:rsidP="00C31F63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A24E76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A24E76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Вид</w:t>
      </w:r>
    </w:p>
    <w:p w:rsidR="00C31F63" w:rsidRPr="00A24E76" w:rsidRDefault="00A24E76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Валутен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ф</w:t>
      </w:r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>оруърд</w:t>
      </w:r>
      <w:proofErr w:type="spellEnd"/>
      <w:r w:rsidR="00C31F6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(продажба)</w:t>
      </w:r>
    </w:p>
    <w:p w:rsidR="00C31F63" w:rsidRPr="00A24E76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Цели</w:t>
      </w:r>
    </w:p>
    <w:p w:rsidR="00C31F63" w:rsidRPr="00A24E76" w:rsidRDefault="00C31F63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Форуърдният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договор (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за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продажба) </w:t>
      </w:r>
      <w:r w:rsidR="00DD199F" w:rsidRPr="00A24E76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споразумение за бъдеща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продажба на дадена сума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в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чуждестранна валута 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определен обменен курс </w:t>
      </w:r>
      <w:r w:rsidR="00A24E76" w:rsidRPr="00A24E76">
        <w:rPr>
          <w:rFonts w:ascii="Bookman Old Style" w:hAnsi="Bookman Old Style" w:cs="Times New Roman"/>
          <w:sz w:val="16"/>
          <w:szCs w:val="16"/>
          <w:lang w:val="bg-BG"/>
        </w:rPr>
        <w:t>на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договорена дата на доставка. 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При сключване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договора се договарят следн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="004E3B23" w:rsidRPr="00A24E76">
        <w:rPr>
          <w:rFonts w:ascii="Bookman Old Style" w:hAnsi="Bookman Old Style" w:cs="Times New Roman"/>
          <w:sz w:val="16"/>
          <w:szCs w:val="16"/>
          <w:lang w:val="bg-BG"/>
        </w:rPr>
        <w:t>е елементи:</w:t>
      </w:r>
    </w:p>
    <w:p w:rsidR="004E3B23" w:rsidRPr="00A24E76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Номинална сума;</w:t>
      </w:r>
    </w:p>
    <w:p w:rsidR="004E3B23" w:rsidRPr="00A24E76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Обменен курс на съответните валути;</w:t>
      </w:r>
    </w:p>
    <w:p w:rsidR="004E3B23" w:rsidRPr="00A24E76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Дата на доставка.</w:t>
      </w:r>
    </w:p>
    <w:p w:rsidR="004E3B23" w:rsidRPr="00A24E76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sz w:val="16"/>
          <w:szCs w:val="16"/>
          <w:lang w:val="bg-BG"/>
        </w:rPr>
        <w:t>Предимства на сделката</w:t>
      </w:r>
    </w:p>
    <w:p w:rsidR="004E3B23" w:rsidRPr="00A24E76" w:rsidRDefault="004E3B23" w:rsidP="00824FC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Обменният курс е фиксиран предварително,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което Ви дава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сигурност;</w:t>
      </w:r>
    </w:p>
    <w:p w:rsidR="004E3B23" w:rsidRPr="00A24E76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Не се заплаща премия;</w:t>
      </w:r>
    </w:p>
    <w:p w:rsidR="004E3B23" w:rsidRPr="00A24E76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Цялостна защита срещу не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 xml:space="preserve">благоприятни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движения на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хеджираната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валута.</w:t>
      </w:r>
    </w:p>
    <w:p w:rsidR="004E3B23" w:rsidRPr="00A24E76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sz w:val="16"/>
          <w:szCs w:val="16"/>
          <w:lang w:val="bg-BG"/>
        </w:rPr>
        <w:t>Рискове от сделката</w:t>
      </w:r>
    </w:p>
    <w:p w:rsidR="004E3B23" w:rsidRPr="00A24E76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Реалната </w:t>
      </w:r>
      <w:r w:rsidR="00317E13" w:rsidRPr="00A24E76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азарна стойност на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форуърдната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сделка се повлиява от спот курс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, лихвените проценти на двете валути и разликата между тях за оставащото време до падеж;</w:t>
      </w:r>
    </w:p>
    <w:p w:rsidR="00186D6F" w:rsidRPr="00A24E76" w:rsidRDefault="00186D6F" w:rsidP="00824FC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Тъй като </w:t>
      </w:r>
      <w:proofErr w:type="spellStart"/>
      <w:r w:rsidRPr="00A24E76">
        <w:rPr>
          <w:rFonts w:ascii="Bookman Old Style" w:hAnsi="Bookman Old Style" w:cs="Times New Roman"/>
          <w:sz w:val="16"/>
          <w:szCs w:val="16"/>
          <w:lang w:val="bg-BG"/>
        </w:rPr>
        <w:t>форуърдната</w:t>
      </w:r>
      <w:proofErr w:type="spellEnd"/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сделка е задължение за прода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жба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>съществува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вероятността от нежелана печалба 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или загуба, ако базовият риск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не 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е </w:t>
      </w:r>
      <w:r w:rsidR="00A26851" w:rsidRPr="00A24E76">
        <w:rPr>
          <w:rFonts w:ascii="Bookman Old Style" w:hAnsi="Bookman Old Style" w:cs="Times New Roman"/>
          <w:sz w:val="16"/>
          <w:szCs w:val="16"/>
          <w:lang w:val="bg-BG"/>
        </w:rPr>
        <w:t>налице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>На теория потенциалните печалби и загуби от валутните курсове могат да бъдат неограничени</w:t>
      </w:r>
      <w:r w:rsidR="00970226"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3317E4" w:rsidRPr="00A24E76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5535B9"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="005535B9" w:rsidRPr="00A24E76"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  <w:t>(MiFID)</w:t>
      </w:r>
    </w:p>
    <w:p w:rsidR="00970226" w:rsidRPr="00A24E76" w:rsidRDefault="005535B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ОББ АД 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предлага този продукт като един от инструментите, които могат да бъдат използвани от не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йните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непрофесионални клиенти според Директивата на ЕС относно пазарите на финансови инструменти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24E76">
        <w:rPr>
          <w:rFonts w:ascii="Bookman Old Style" w:hAnsi="Bookman Old Style" w:cs="Times New Roman"/>
          <w:sz w:val="16"/>
          <w:szCs w:val="16"/>
          <w:lang w:val="en-US"/>
        </w:rPr>
        <w:t>MiFID)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за хеджиране на т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ехните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базов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валутн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експозици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. Продуктът не е инвестиционен</w:t>
      </w:r>
      <w:r w:rsidR="00275317">
        <w:rPr>
          <w:rFonts w:ascii="Bookman Old Style" w:hAnsi="Bookman Old Style" w:cs="Times New Roman"/>
          <w:sz w:val="16"/>
          <w:szCs w:val="16"/>
          <w:lang w:val="bg-BG"/>
        </w:rPr>
        <w:t>, в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смисъл, че непрофесио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налният клиент ще опита да реал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з</w:t>
      </w:r>
      <w:r w:rsidR="003317E4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ира печалба, инвестирайки (т.е. закупувайки и продавайки) в този продукт.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Продуктът се предлага само като средство за създаване на защита на непрофесионалния клиент срещу не</w:t>
      </w:r>
      <w:r w:rsidR="00294EBC">
        <w:rPr>
          <w:rFonts w:ascii="Bookman Old Style" w:hAnsi="Bookman Old Style" w:cs="Times New Roman"/>
          <w:sz w:val="16"/>
          <w:szCs w:val="16"/>
          <w:lang w:val="bg-BG"/>
        </w:rPr>
        <w:t>благоприятни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валутни движения.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3E5A8F" w:rsidRPr="00294EBC" w:rsidRDefault="003E5A8F" w:rsidP="003E5A8F">
      <w:pPr>
        <w:rPr>
          <w:rFonts w:ascii="Bookman Old Style" w:hAnsi="Bookman Old Style"/>
          <w:noProof/>
          <w:sz w:val="24"/>
          <w:szCs w:val="24"/>
          <w:lang w:val="bg-BG"/>
        </w:rPr>
      </w:pPr>
      <w:r w:rsidRPr="00294EBC">
        <w:rPr>
          <w:rFonts w:ascii="Bookman Old Style" w:hAnsi="Bookman Old Style" w:cs="Cambria"/>
          <w:b/>
          <w:sz w:val="24"/>
          <w:szCs w:val="24"/>
          <w:lang w:val="bg-BG"/>
        </w:rPr>
        <w:t>Какви са рисковете и каква възвръщаемост бих могъл(могла) да получа?</w:t>
      </w: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824FC3" w:rsidRPr="00A24E76" w:rsidTr="00824FC3">
        <w:trPr>
          <w:trHeight w:val="2052"/>
        </w:trPr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606FAB6D" wp14:editId="37106A89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D3DFDE" wp14:editId="5A3FEFCF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FC3" w:rsidRDefault="00824FC3" w:rsidP="00824FC3"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Индикаторът на риска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е при допускането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държите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продукта за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12 месеца</w:t>
                                  </w:r>
                                  <w:r w:rsidRPr="006E35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bg-BG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D3D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824FC3" w:rsidRDefault="00824FC3" w:rsidP="00824FC3"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Индикаторът на риска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е при допускането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държите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продукта за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12 месеца</w:t>
                            </w:r>
                            <w:r w:rsidRPr="006E35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g-BG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Pr="00A24E76" w:rsidRDefault="005A25F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noProof/>
          <w:sz w:val="16"/>
          <w:szCs w:val="16"/>
          <w:lang w:val="bg-BG" w:eastAsia="bg-BG"/>
        </w:rPr>
        <w:drawing>
          <wp:inline distT="0" distB="0" distL="0" distR="0" wp14:anchorId="61DFBFD3" wp14:editId="5FCEE382">
            <wp:extent cx="5730321" cy="952500"/>
            <wp:effectExtent l="0" t="0" r="3810" b="0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68" cy="9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F" w:rsidRDefault="00C54CCF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Pr="00A24E76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A24E76" w:rsidRDefault="00294EB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 xml:space="preserve">Обобщеният индикатор на риска представлява насока относно 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нивото на риск </w:t>
      </w:r>
      <w:r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този продукт</w:t>
      </w:r>
      <w:r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 сравнение с други </w:t>
      </w:r>
      <w:r w:rsidR="005D6BD2" w:rsidRPr="00A24E76">
        <w:rPr>
          <w:rFonts w:ascii="Bookman Old Style" w:hAnsi="Bookman Old Style" w:cs="Times New Roman"/>
          <w:sz w:val="16"/>
          <w:szCs w:val="16"/>
          <w:lang w:val="bg-BG"/>
        </w:rPr>
        <w:t>продукти. Той показва доколко</w:t>
      </w:r>
      <w:r w:rsidR="00DD199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C54CCF" w:rsidRPr="00A24E76">
        <w:rPr>
          <w:rFonts w:ascii="Bookman Old Style" w:hAnsi="Bookman Old Style" w:cs="Times New Roman"/>
          <w:sz w:val="16"/>
          <w:szCs w:val="16"/>
          <w:lang w:val="bg-BG"/>
        </w:rPr>
        <w:t>е вероятно продуктът да доведе до загуба на пари поради движенията на пазарите или поради това, че нямаме възможност да Ви платим.</w:t>
      </w:r>
    </w:p>
    <w:p w:rsidR="00294EBC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Класифицирахме този продукт с оцен</w:t>
      </w:r>
      <w:r w:rsidR="00C27091" w:rsidRPr="00A24E76">
        <w:rPr>
          <w:rFonts w:ascii="Bookman Old Style" w:hAnsi="Bookman Old Style" w:cs="Times New Roman"/>
          <w:sz w:val="16"/>
          <w:szCs w:val="16"/>
          <w:lang w:val="bg-BG"/>
        </w:rPr>
        <w:t>ка 7 от 7, което представ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л</w:t>
      </w:r>
      <w:r w:rsidR="00C27091" w:rsidRPr="00A24E76">
        <w:rPr>
          <w:rFonts w:ascii="Bookman Old Style" w:hAnsi="Bookman Old Style" w:cs="Times New Roman"/>
          <w:sz w:val="16"/>
          <w:szCs w:val="16"/>
          <w:lang w:val="bg-BG"/>
        </w:rPr>
        <w:t>я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ва най-високия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рисков клас.</w:t>
      </w:r>
    </w:p>
    <w:p w:rsidR="00294EBC" w:rsidRDefault="00294EBC">
      <w:pPr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br w:type="page"/>
      </w: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Сценарии </w:t>
      </w:r>
      <w:r w:rsidR="00294EBC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за резултатите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81"/>
        <w:gridCol w:w="3827"/>
        <w:gridCol w:w="1531"/>
      </w:tblGrid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3827" w:type="dxa"/>
            <w:vMerge w:val="restart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:rsidR="00C54CCF" w:rsidRPr="00A24E76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Падеж</w:t>
            </w:r>
          </w:p>
        </w:tc>
      </w:tr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3827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C54CCF" w:rsidRPr="00A24E76" w:rsidTr="00C27091">
        <w:tc>
          <w:tcPr>
            <w:tcW w:w="3681" w:type="dxa"/>
            <w:vMerge w:val="restart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Стрес</w:t>
            </w:r>
            <w:r w:rsidR="005535B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ов</w:t>
            </w: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сценарий</w:t>
            </w:r>
          </w:p>
        </w:tc>
        <w:tc>
          <w:tcPr>
            <w:tcW w:w="3827" w:type="dxa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54CCF" w:rsidRPr="00A24E76" w:rsidRDefault="00C54CCF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7561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54CCF" w:rsidRPr="00A24E76" w:rsidTr="00C27091">
        <w:tc>
          <w:tcPr>
            <w:tcW w:w="3681" w:type="dxa"/>
            <w:vMerge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54CCF" w:rsidRPr="00A24E76" w:rsidRDefault="005D6BD2" w:rsidP="0097022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C54CCF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54CCF" w:rsidRPr="00A24E76" w:rsidRDefault="00824FC3" w:rsidP="00C54CCF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C54CCF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24,28%</w:t>
            </w:r>
          </w:p>
        </w:tc>
      </w:tr>
      <w:tr w:rsidR="00C27091" w:rsidRPr="00A24E76" w:rsidTr="00C27091">
        <w:tc>
          <w:tcPr>
            <w:tcW w:w="3681" w:type="dxa"/>
            <w:vMerge w:val="restart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Неблагоприятен сценарий</w:t>
            </w: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27091" w:rsidRPr="00A24E76" w:rsidRDefault="00C27091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8460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27091" w:rsidRPr="00A24E76" w:rsidTr="00C27091">
        <w:tc>
          <w:tcPr>
            <w:tcW w:w="3681" w:type="dxa"/>
            <w:vMerge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Средна </w:t>
            </w:r>
            <w:r w:rsidR="005D6BD2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възвръ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27091" w:rsidRPr="00A24E76" w:rsidRDefault="00824FC3" w:rsidP="0034470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C27091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15,33%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Неутрален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5A25F9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9665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5A25F9" w:rsidP="0034470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3,33%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Благоприятен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5A25F9" w:rsidP="00C27091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10 707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5A25F9" w:rsidP="00C27091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7,04%</w:t>
            </w:r>
          </w:p>
        </w:tc>
      </w:tr>
    </w:tbl>
    <w:p w:rsidR="00C54CCF" w:rsidRPr="00A24E76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Тази таблица показва пазарна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договор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до падеж, при различни сценарии, при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 xml:space="preserve"> допускането за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сума от 10 000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евро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Показаните сценарии илюстрират каква доходност би имал Вашия</w:t>
      </w:r>
      <w:r w:rsidR="00436F03" w:rsidRPr="00A24E76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6D2519" w:rsidRPr="00A24E76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 Можете да ги сравните със сценариите за други продукти.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Пред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>ставените сценарии са прогноза з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а бъдещ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>ите резултати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на база данните до момента, но не са точен индикатор.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6D2519" w:rsidRPr="00A24E76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договор ще варира в зависимост от това каква е ситуацията на пазара и колко дълго задържите продукта.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C27091" w:rsidRPr="00A24E76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данни </w:t>
      </w:r>
      <w:r w:rsidR="00F23775" w:rsidRPr="00A24E76">
        <w:rPr>
          <w:rFonts w:ascii="Bookman Old Style" w:hAnsi="Bookman Old Style" w:cs="Times New Roman"/>
          <w:sz w:val="16"/>
          <w:szCs w:val="16"/>
          <w:lang w:val="bg-BG"/>
        </w:rPr>
        <w:t>включват всички разходи на самия продукт.</w:t>
      </w:r>
    </w:p>
    <w:p w:rsidR="00F23775" w:rsidRPr="00735F05" w:rsidRDefault="003E5A8F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A24E76" w:rsidRDefault="00C7580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Изпълнението 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на договора зависи от </w:t>
      </w:r>
      <w:r w:rsidR="00735F05">
        <w:rPr>
          <w:rFonts w:ascii="Bookman Old Style" w:hAnsi="Bookman Old Style" w:cs="Times New Roman"/>
          <w:sz w:val="16"/>
          <w:szCs w:val="16"/>
          <w:lang w:val="bg-BG"/>
        </w:rPr>
        <w:t xml:space="preserve">платежоспособността 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на </w:t>
      </w:r>
      <w:r w:rsidR="005535B9" w:rsidRPr="00A24E76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8534BE" w:rsidRPr="00A24E76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8534BE" w:rsidRPr="00735F05" w:rsidRDefault="008534BE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Times New Roman"/>
          <w:b/>
          <w:sz w:val="24"/>
          <w:szCs w:val="24"/>
          <w:lang w:val="bg-BG"/>
        </w:rPr>
        <w:t>Какви са разходите?</w:t>
      </w:r>
    </w:p>
    <w:p w:rsidR="008534BE" w:rsidRPr="00A24E76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Разходите във времето</w:t>
      </w:r>
    </w:p>
    <w:p w:rsidR="008534BE" w:rsidRPr="00A24E76" w:rsidRDefault="008534BE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Намаляването на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доходността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24E76">
        <w:rPr>
          <w:rFonts w:ascii="Bookman Old Style" w:hAnsi="Bookman Old Style" w:cs="Times New Roman"/>
          <w:sz w:val="16"/>
          <w:szCs w:val="16"/>
        </w:rPr>
        <w:t>RIY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) показва въздействието на общата сума на разходите, които заплащате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върху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резултатите от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продукта. Общата сума на разходите включва еднократните, текущите и инцидентните разходи. Показаните тук суми представляват кумул</w:t>
      </w:r>
      <w:r w:rsidR="00A0098F" w:rsidRPr="00A24E76">
        <w:rPr>
          <w:rFonts w:ascii="Bookman Old Style" w:hAnsi="Bookman Old Style" w:cs="Times New Roman"/>
          <w:sz w:val="16"/>
          <w:szCs w:val="16"/>
          <w:lang w:val="bg-BG"/>
        </w:rPr>
        <w:t>ативни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те</w:t>
      </w:r>
      <w:r w:rsidR="00A0098F"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разходи на самия продукт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C7580A" w:rsidRPr="00A24E76">
        <w:rPr>
          <w:rFonts w:ascii="Bookman Old Style" w:hAnsi="Bookman Old Style" w:cs="Times New Roman"/>
          <w:sz w:val="16"/>
          <w:szCs w:val="16"/>
          <w:lang w:val="bg-BG"/>
        </w:rPr>
        <w:t>за една сделка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Те включват потенциални наказателни такси при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>предсрочно излизане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. Данните 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 xml:space="preserve">са при допускането за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номинална</w:t>
      </w:r>
      <w:r w:rsidR="004D4914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стойност от 10 000 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евро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lastRenderedPageBreak/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1559" w:type="dxa"/>
            <w:vMerge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1559" w:type="dxa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 върху възвръщаемостта (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</w:rPr>
              <w:t>RIY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) на годи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шна база</w:t>
            </w:r>
          </w:p>
        </w:tc>
        <w:tc>
          <w:tcPr>
            <w:tcW w:w="1559" w:type="dxa"/>
          </w:tcPr>
          <w:p w:rsidR="008534BE" w:rsidRPr="00A24E76" w:rsidRDefault="00E9459C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A24E76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A24E76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Състав на разходите</w:t>
      </w:r>
    </w:p>
    <w:p w:rsidR="00E9459C" w:rsidRPr="00A24E76" w:rsidRDefault="00E9459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Следващата таблица показва:</w:t>
      </w:r>
    </w:p>
    <w:p w:rsidR="00E9459C" w:rsidRPr="00A24E76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Влиянието з</w:t>
      </w:r>
      <w:r w:rsidR="00824FC3" w:rsidRPr="00A24E76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 xml:space="preserve"> всяка година на различните видове разходи върху </w:t>
      </w:r>
      <w:r w:rsidR="00D25254">
        <w:rPr>
          <w:rFonts w:ascii="Bookman Old Style" w:hAnsi="Bookman Old Style" w:cs="Times New Roman"/>
          <w:sz w:val="16"/>
          <w:szCs w:val="16"/>
          <w:lang w:val="bg-BG"/>
        </w:rPr>
        <w:t xml:space="preserve">резултатите от </w:t>
      </w:r>
      <w:r w:rsidRPr="00A24E76">
        <w:rPr>
          <w:rFonts w:ascii="Bookman Old Style" w:hAnsi="Bookman Old Style" w:cs="Times New Roman"/>
          <w:sz w:val="16"/>
          <w:szCs w:val="16"/>
          <w:lang w:val="bg-BG"/>
        </w:rPr>
        <w:t>продукта при падеж;</w:t>
      </w:r>
    </w:p>
    <w:p w:rsidR="00E9459C" w:rsidRPr="00A24E76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sz w:val="16"/>
          <w:szCs w:val="16"/>
          <w:lang w:val="bg-BG"/>
        </w:rPr>
        <w:t>Какво означават различните категории разходи.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254"/>
        <w:gridCol w:w="1016"/>
        <w:gridCol w:w="3959"/>
      </w:tblGrid>
      <w:tr w:rsidR="00DD4216" w:rsidRPr="00A24E76" w:rsidTr="00DD4216">
        <w:tc>
          <w:tcPr>
            <w:tcW w:w="9209" w:type="dxa"/>
            <w:gridSpan w:val="4"/>
            <w:shd w:val="clear" w:color="auto" w:fill="00B0F0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Тази таблица показва влиянието 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върху</w:t>
            </w: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 възвръщаемостта на годи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Еднократни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Разходи за влизане</w:t>
            </w:r>
          </w:p>
        </w:tc>
        <w:tc>
          <w:tcPr>
            <w:tcW w:w="1016" w:type="dxa"/>
          </w:tcPr>
          <w:p w:rsidR="00E9459C" w:rsidRPr="00A24E76" w:rsidRDefault="00824FC3" w:rsidP="00E9459C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1,00</w:t>
            </w:r>
            <w:r w:rsidR="00E9459C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%</w:t>
            </w:r>
          </w:p>
        </w:tc>
        <w:tc>
          <w:tcPr>
            <w:tcW w:w="3959" w:type="dxa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Влиянието на разходите, които вече са включени в цената. Това е максимална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та сума, която може да платите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Текущи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Инцидентни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</w:tbl>
    <w:p w:rsidR="00E9459C" w:rsidRPr="00A24E76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D25254" w:rsidRDefault="003E5A8F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D25254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A24E76" w:rsidRDefault="00D25254" w:rsidP="00E9459C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Препоръчителен период на </w:t>
      </w:r>
      <w:r w:rsidR="00E9459C"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държане: до падеж</w:t>
      </w:r>
    </w:p>
    <w:p w:rsidR="003E5A8F" w:rsidRPr="00A24E76" w:rsidRDefault="003E5A8F" w:rsidP="003E5A8F">
      <w:pPr>
        <w:rPr>
          <w:rFonts w:ascii="Bookman Old Style" w:hAnsi="Bookman Old Style"/>
          <w:sz w:val="16"/>
          <w:szCs w:val="16"/>
          <w:lang w:val="bg-BG"/>
        </w:rPr>
      </w:pPr>
      <w:r w:rsidRPr="00A24E76">
        <w:rPr>
          <w:rFonts w:ascii="Bookman Old Style" w:hAnsi="Bookman Old Style"/>
          <w:sz w:val="16"/>
          <w:szCs w:val="16"/>
          <w:lang w:val="bg-BG"/>
        </w:rPr>
        <w:t xml:space="preserve">Сключването на сделки с </w:t>
      </w:r>
      <w:r w:rsidR="00D25254">
        <w:rPr>
          <w:rFonts w:ascii="Bookman Old Style" w:hAnsi="Bookman Old Style"/>
          <w:sz w:val="16"/>
          <w:szCs w:val="16"/>
          <w:lang w:val="bg-BG"/>
        </w:rPr>
        <w:t xml:space="preserve">валутни </w:t>
      </w:r>
      <w:r w:rsidRPr="00A24E76">
        <w:rPr>
          <w:rFonts w:ascii="Bookman Old Style" w:hAnsi="Bookman Old Style"/>
          <w:sz w:val="16"/>
          <w:szCs w:val="16"/>
          <w:lang w:val="bg-BG"/>
        </w:rPr>
        <w:t xml:space="preserve">деривати представлява </w:t>
      </w:r>
      <w:r w:rsidR="00D25254">
        <w:rPr>
          <w:rFonts w:ascii="Bookman Old Style" w:hAnsi="Bookman Old Style"/>
          <w:sz w:val="16"/>
          <w:szCs w:val="16"/>
          <w:lang w:val="bg-BG"/>
        </w:rPr>
        <w:t>твърд</w:t>
      </w:r>
      <w:r w:rsidRPr="00A24E76">
        <w:rPr>
          <w:rFonts w:ascii="Bookman Old Style" w:hAnsi="Bookman Old Style"/>
          <w:sz w:val="16"/>
          <w:szCs w:val="16"/>
          <w:lang w:val="bg-BG"/>
        </w:rPr>
        <w:t xml:space="preserve"> ангажимент и за двете страни по сделката.</w:t>
      </w:r>
    </w:p>
    <w:p w:rsidR="003E5A8F" w:rsidRPr="00A24E76" w:rsidRDefault="00C136CE" w:rsidP="003E5A8F">
      <w:pPr>
        <w:rPr>
          <w:rFonts w:ascii="Bookman Old Style" w:hAnsi="Bookman Old Style"/>
          <w:sz w:val="16"/>
          <w:szCs w:val="16"/>
          <w:lang w:val="bg-BG"/>
        </w:rPr>
      </w:pPr>
      <w:r>
        <w:rPr>
          <w:rFonts w:ascii="Bookman Old Style" w:hAnsi="Bookman Old Style"/>
          <w:sz w:val="16"/>
          <w:szCs w:val="16"/>
          <w:lang w:val="bg-BG"/>
        </w:rPr>
        <w:t>При</w:t>
      </w:r>
      <w:r w:rsidR="003E5A8F" w:rsidRPr="00A24E76">
        <w:rPr>
          <w:rFonts w:ascii="Bookman Old Style" w:hAnsi="Bookman Old Style"/>
          <w:sz w:val="16"/>
          <w:szCs w:val="16"/>
          <w:lang w:val="bg-BG"/>
        </w:rPr>
        <w:t xml:space="preserve"> сключване на валутен </w:t>
      </w:r>
      <w:proofErr w:type="spellStart"/>
      <w:r w:rsidR="003E5A8F" w:rsidRPr="00A24E76">
        <w:rPr>
          <w:rFonts w:ascii="Bookman Old Style" w:hAnsi="Bookman Old Style"/>
          <w:sz w:val="16"/>
          <w:szCs w:val="16"/>
          <w:lang w:val="bg-BG"/>
        </w:rPr>
        <w:t>форуърд</w:t>
      </w:r>
      <w:proofErr w:type="spellEnd"/>
      <w:r w:rsidR="003E5A8F" w:rsidRPr="00A24E76">
        <w:rPr>
          <w:rFonts w:ascii="Bookman Old Style" w:hAnsi="Bookman Old Style"/>
          <w:sz w:val="16"/>
          <w:szCs w:val="16"/>
          <w:lang w:val="bg-BG"/>
        </w:rPr>
        <w:t>/суап на договорената дата на падеж 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3E5A8F" w:rsidRPr="00A24E76" w:rsidRDefault="003E5A8F" w:rsidP="003E5A8F">
      <w:pPr>
        <w:rPr>
          <w:rFonts w:ascii="Bookman Old Style" w:hAnsi="Bookman Old Style"/>
          <w:sz w:val="16"/>
          <w:szCs w:val="16"/>
          <w:lang w:val="bg-BG"/>
        </w:rPr>
      </w:pPr>
      <w:r w:rsidRPr="00A24E76">
        <w:rPr>
          <w:rFonts w:ascii="Bookman Old Style" w:hAnsi="Bookman Old Style"/>
          <w:sz w:val="16"/>
          <w:szCs w:val="16"/>
          <w:lang w:val="bg-BG"/>
        </w:rPr>
        <w:t>Възможно е частично или пълно за</w:t>
      </w:r>
      <w:r w:rsidR="00C136CE">
        <w:rPr>
          <w:rFonts w:ascii="Bookman Old Style" w:hAnsi="Bookman Old Style"/>
          <w:sz w:val="16"/>
          <w:szCs w:val="16"/>
          <w:lang w:val="bg-BG"/>
        </w:rPr>
        <w:t xml:space="preserve">тваряне </w:t>
      </w:r>
      <w:r w:rsidRPr="00A24E76">
        <w:rPr>
          <w:rFonts w:ascii="Bookman Old Style" w:hAnsi="Bookman Old Style"/>
          <w:sz w:val="16"/>
          <w:szCs w:val="16"/>
          <w:lang w:val="bg-BG"/>
        </w:rPr>
        <w:t>на позицията посредством сключване на насрещна сделка със същия инструмент.</w:t>
      </w:r>
    </w:p>
    <w:p w:rsidR="003E5A8F" w:rsidRPr="00C136CE" w:rsidRDefault="003E5A8F" w:rsidP="003E5A8F">
      <w:pPr>
        <w:pStyle w:val="NormalWeb"/>
        <w:spacing w:before="0" w:beforeAutospacing="0" w:after="0" w:afterAutospacing="0"/>
        <w:rPr>
          <w:rFonts w:ascii="Bookman Old Style" w:eastAsiaTheme="minorHAnsi" w:hAnsi="Bookman Old Style" w:cs="Cambria"/>
          <w:b/>
          <w:lang w:val="bg-BG" w:eastAsia="en-US"/>
        </w:rPr>
      </w:pPr>
      <w:r w:rsidRPr="00C136CE">
        <w:rPr>
          <w:rFonts w:ascii="Bookman Old Style" w:eastAsiaTheme="minorHAnsi" w:hAnsi="Bookman Old Style" w:cs="Cambria"/>
          <w:b/>
          <w:lang w:val="bg-BG" w:eastAsia="en-US"/>
        </w:rPr>
        <w:t xml:space="preserve">Как мога да подам жалба?  </w:t>
      </w:r>
      <w:bookmarkStart w:id="0" w:name="_Toc458181190"/>
      <w:bookmarkStart w:id="1" w:name="_Toc458181285"/>
      <w:bookmarkStart w:id="2" w:name="_Toc458181317"/>
    </w:p>
    <w:p w:rsidR="003E5A8F" w:rsidRPr="00A24E76" w:rsidRDefault="000C2D6C" w:rsidP="003E5A8F">
      <w:pPr>
        <w:pStyle w:val="NormalWeb"/>
        <w:spacing w:before="0" w:beforeAutospacing="0" w:after="0" w:afterAutospacing="0"/>
        <w:rPr>
          <w:rFonts w:ascii="Bookman Old Style" w:hAnsi="Bookman Old Style"/>
          <w:sz w:val="16"/>
          <w:szCs w:val="16"/>
        </w:rPr>
      </w:pPr>
      <w:r w:rsidRPr="00A24E76">
        <w:rPr>
          <w:rFonts w:ascii="Bookman Old Style" w:hAnsi="Bookman Old Style" w:cstheme="minorHAnsi"/>
          <w:sz w:val="16"/>
          <w:szCs w:val="16"/>
          <w:lang w:val="bg-BG"/>
        </w:rPr>
        <w:t>Жалби във връзка с продукта</w:t>
      </w:r>
      <w:r w:rsidRPr="00A24E76">
        <w:rPr>
          <w:rFonts w:ascii="Bookman Old Style" w:hAnsi="Bookman Old Style" w:cstheme="minorHAnsi"/>
          <w:sz w:val="16"/>
          <w:szCs w:val="16"/>
          <w:lang w:val="en-US"/>
        </w:rPr>
        <w:t xml:space="preserve"> 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>следва да бъдат подавани в писмен вид до адрес</w:t>
      </w:r>
      <w:r w:rsidRPr="00A24E76">
        <w:rPr>
          <w:rFonts w:ascii="Bookman Old Style" w:hAnsi="Bookman Old Style" w:cstheme="minorHAnsi"/>
          <w:sz w:val="16"/>
          <w:szCs w:val="16"/>
          <w:lang w:val="en-US"/>
        </w:rPr>
        <w:t>: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 гр. София 1463, бул. „Витоша</w:t>
      </w:r>
      <w:r w:rsidR="001875C5" w:rsidRPr="00A24E76">
        <w:rPr>
          <w:rFonts w:ascii="Bookman Old Style" w:hAnsi="Bookman Old Style" w:cstheme="minorHAnsi"/>
          <w:sz w:val="16"/>
          <w:szCs w:val="16"/>
          <w:lang w:val="bg-BG"/>
        </w:rPr>
        <w:t>“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89Б ,</w:t>
      </w:r>
      <w:r w:rsidR="003E5A8F"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по електронна поща на </w:t>
      </w:r>
      <w:hyperlink r:id="rId9" w:history="1">
        <w:r w:rsidR="003E5A8F" w:rsidRPr="00A24E76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en-US" w:eastAsia="en-US"/>
          </w:rPr>
          <w:t>jalbi</w:t>
        </w:r>
        <w:r w:rsidR="003E5A8F" w:rsidRPr="00A24E76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bg-BG" w:eastAsia="en-US"/>
          </w:rPr>
          <w:t>@ubb.bg</w:t>
        </w:r>
      </w:hyperlink>
      <w:r w:rsidR="003E5A8F" w:rsidRPr="00A24E76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или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на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3E5A8F" w:rsidRPr="00A24E76">
        <w:rPr>
          <w:rFonts w:ascii="Bookman Old Style" w:hAnsi="Bookman Old Style"/>
          <w:sz w:val="16"/>
          <w:szCs w:val="16"/>
        </w:rPr>
        <w:t>телефон</w:t>
      </w:r>
      <w:proofErr w:type="spellEnd"/>
      <w:r w:rsidR="003E5A8F" w:rsidRPr="00A24E76">
        <w:rPr>
          <w:rFonts w:ascii="Bookman Old Style" w:hAnsi="Bookman Old Style"/>
          <w:sz w:val="16"/>
          <w:szCs w:val="16"/>
        </w:rPr>
        <w:t xml:space="preserve"> </w:t>
      </w:r>
    </w:p>
    <w:p w:rsidR="00E9459C" w:rsidRPr="00A24E76" w:rsidRDefault="003E5A8F" w:rsidP="003E5A8F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24E76">
        <w:rPr>
          <w:rFonts w:ascii="Bookman Old Style" w:hAnsi="Bookman Old Style"/>
          <w:b/>
          <w:sz w:val="16"/>
          <w:szCs w:val="16"/>
        </w:rPr>
        <w:t>0700 117 17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 както и на </w:t>
      </w:r>
      <w:r w:rsidR="000C2D6C" w:rsidRPr="00A24E76">
        <w:rPr>
          <w:rFonts w:ascii="Bookman Old Style" w:hAnsi="Bookman Old Style" w:cstheme="minorHAnsi"/>
          <w:sz w:val="16"/>
          <w:szCs w:val="16"/>
          <w:lang w:val="bg-BG"/>
        </w:rPr>
        <w:t>уеб</w:t>
      </w: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сайта на Банката </w:t>
      </w:r>
      <w:bookmarkEnd w:id="0"/>
      <w:bookmarkEnd w:id="1"/>
      <w:bookmarkEnd w:id="2"/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begin"/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instrText xml:space="preserve"> HYPERLINK "https://www.ubb.bg/contacts/feedback" </w:instrText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separate"/>
      </w:r>
      <w:r w:rsidRPr="00A24E76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en-US"/>
        </w:rPr>
        <w:t>https://www.ubb.bg/contacts/feedback</w:t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  <w:fldChar w:fldCharType="end"/>
      </w:r>
      <w:r w:rsidRPr="00A24E76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t>   </w:t>
      </w:r>
      <w:r w:rsidRPr="00A24E76" w:rsidDel="003E5A8F">
        <w:rPr>
          <w:rFonts w:ascii="Bookman Old Style" w:hAnsi="Bookman Old Style" w:cs="Times New Roman"/>
          <w:b/>
          <w:sz w:val="16"/>
          <w:szCs w:val="16"/>
          <w:lang w:val="bg-BG"/>
        </w:rPr>
        <w:t xml:space="preserve"> </w:t>
      </w:r>
    </w:p>
    <w:p w:rsidR="000C2D6C" w:rsidRPr="00C136CE" w:rsidRDefault="000C2D6C" w:rsidP="000C2D6C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C136CE">
        <w:rPr>
          <w:rFonts w:ascii="Bookman Old Style" w:hAnsi="Bookman Old Style" w:cs="Cambria"/>
          <w:b/>
          <w:sz w:val="24"/>
          <w:szCs w:val="24"/>
          <w:lang w:val="bg-BG"/>
        </w:rPr>
        <w:t>Друга полезна информация</w:t>
      </w:r>
    </w:p>
    <w:p w:rsidR="000C2D6C" w:rsidRPr="00A24E76" w:rsidRDefault="000C2D6C" w:rsidP="000C2D6C">
      <w:pPr>
        <w:jc w:val="both"/>
        <w:rPr>
          <w:rFonts w:ascii="Bookman Old Style" w:hAnsi="Bookman Old Style" w:cstheme="minorHAnsi"/>
          <w:sz w:val="16"/>
          <w:szCs w:val="16"/>
          <w:lang w:val="bg-BG"/>
        </w:rPr>
      </w:pPr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Допълнителна информация за продукта може да намерите на уебсайта на Банката:  </w:t>
      </w:r>
    </w:p>
    <w:p w:rsidR="000C2D6C" w:rsidRPr="00A24E76" w:rsidRDefault="000C2D6C" w:rsidP="000C2D6C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bookmarkStart w:id="3" w:name="_GoBack"/>
      <w:bookmarkEnd w:id="3"/>
      <w:r w:rsidRPr="00A24E76">
        <w:rPr>
          <w:rFonts w:ascii="Bookman Old Style" w:hAnsi="Bookman Old Style" w:cstheme="minorHAnsi"/>
          <w:sz w:val="16"/>
          <w:szCs w:val="16"/>
          <w:lang w:val="bg-BG"/>
        </w:rPr>
        <w:t xml:space="preserve">за корпоративни клиенти на </w:t>
      </w:r>
      <w:hyperlink r:id="rId10" w:history="1">
        <w:r w:rsidRPr="00A24E76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https://www.ubb.bg/business-clients/business-treasury/business-derivati-i-drugi-finansovi-instrumenti</w:t>
        </w:r>
      </w:hyperlink>
    </w:p>
    <w:p w:rsidR="000C2D6C" w:rsidRPr="00A24E76" w:rsidRDefault="000C2D6C" w:rsidP="003E5A8F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sectPr w:rsidR="000C2D6C" w:rsidRPr="00A24E76" w:rsidSect="002E0F29">
      <w:headerReference w:type="default" r:id="rId11"/>
      <w:pgSz w:w="16838" w:h="11906" w:orient="landscape"/>
      <w:pgMar w:top="1134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44" w:rsidRDefault="00884144" w:rsidP="003E5A8F">
      <w:pPr>
        <w:spacing w:after="0" w:line="240" w:lineRule="auto"/>
      </w:pPr>
      <w:r>
        <w:separator/>
      </w:r>
    </w:p>
  </w:endnote>
  <w:endnote w:type="continuationSeparator" w:id="0">
    <w:p w:rsidR="00884144" w:rsidRDefault="00884144" w:rsidP="003E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44" w:rsidRDefault="00884144" w:rsidP="003E5A8F">
      <w:pPr>
        <w:spacing w:after="0" w:line="240" w:lineRule="auto"/>
      </w:pPr>
      <w:r>
        <w:separator/>
      </w:r>
    </w:p>
  </w:footnote>
  <w:footnote w:type="continuationSeparator" w:id="0">
    <w:p w:rsidR="00884144" w:rsidRDefault="00884144" w:rsidP="003E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8F" w:rsidRDefault="003E5A8F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02717AC3" wp14:editId="567F370C">
          <wp:extent cx="665683" cy="519379"/>
          <wp:effectExtent l="0" t="0" r="1270" b="0"/>
          <wp:docPr id="1" name="Picture 1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703FB"/>
    <w:rsid w:val="00077934"/>
    <w:rsid w:val="000C2D6C"/>
    <w:rsid w:val="00143BEA"/>
    <w:rsid w:val="00171600"/>
    <w:rsid w:val="00186D6F"/>
    <w:rsid w:val="001875C5"/>
    <w:rsid w:val="001F623A"/>
    <w:rsid w:val="00211DBF"/>
    <w:rsid w:val="00275317"/>
    <w:rsid w:val="00294EBC"/>
    <w:rsid w:val="002A2F18"/>
    <w:rsid w:val="002E0F29"/>
    <w:rsid w:val="00317E13"/>
    <w:rsid w:val="00324728"/>
    <w:rsid w:val="003317E4"/>
    <w:rsid w:val="00344705"/>
    <w:rsid w:val="003B3B74"/>
    <w:rsid w:val="003E5A8F"/>
    <w:rsid w:val="00436F03"/>
    <w:rsid w:val="004D4914"/>
    <w:rsid w:val="004E3B23"/>
    <w:rsid w:val="00520E0D"/>
    <w:rsid w:val="00526117"/>
    <w:rsid w:val="005535B9"/>
    <w:rsid w:val="005A25F9"/>
    <w:rsid w:val="005A4B33"/>
    <w:rsid w:val="005D6BD2"/>
    <w:rsid w:val="00673DAD"/>
    <w:rsid w:val="006D2519"/>
    <w:rsid w:val="007141F7"/>
    <w:rsid w:val="00735F05"/>
    <w:rsid w:val="00824FC3"/>
    <w:rsid w:val="00846086"/>
    <w:rsid w:val="008534BE"/>
    <w:rsid w:val="00884144"/>
    <w:rsid w:val="008A4018"/>
    <w:rsid w:val="00906DF8"/>
    <w:rsid w:val="0096148D"/>
    <w:rsid w:val="00970226"/>
    <w:rsid w:val="00992291"/>
    <w:rsid w:val="00995A0A"/>
    <w:rsid w:val="009F4658"/>
    <w:rsid w:val="00A0098F"/>
    <w:rsid w:val="00A24E76"/>
    <w:rsid w:val="00A26851"/>
    <w:rsid w:val="00AB26BD"/>
    <w:rsid w:val="00B46B5D"/>
    <w:rsid w:val="00BB4973"/>
    <w:rsid w:val="00C136CE"/>
    <w:rsid w:val="00C27091"/>
    <w:rsid w:val="00C31F63"/>
    <w:rsid w:val="00C54CCF"/>
    <w:rsid w:val="00C7580A"/>
    <w:rsid w:val="00CE6DC7"/>
    <w:rsid w:val="00D25254"/>
    <w:rsid w:val="00D254D7"/>
    <w:rsid w:val="00D26B0C"/>
    <w:rsid w:val="00D62CBA"/>
    <w:rsid w:val="00D93C18"/>
    <w:rsid w:val="00DD199F"/>
    <w:rsid w:val="00DD4216"/>
    <w:rsid w:val="00E3324B"/>
    <w:rsid w:val="00E9459C"/>
    <w:rsid w:val="00EA41A7"/>
    <w:rsid w:val="00F23775"/>
    <w:rsid w:val="00F338B6"/>
    <w:rsid w:val="00F367E8"/>
    <w:rsid w:val="00FA089A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FB1C16-000B-4D8C-BE5B-239123EB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E5A8F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5A8F"/>
    <w:rPr>
      <w:rFonts w:ascii="Calibri" w:eastAsia="Calibri" w:hAnsi="Calibri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8F"/>
  </w:style>
  <w:style w:type="paragraph" w:styleId="Footer">
    <w:name w:val="footer"/>
    <w:basedOn w:val="Normal"/>
    <w:link w:val="Foot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8F"/>
  </w:style>
  <w:style w:type="paragraph" w:customStyle="1" w:styleId="WKN">
    <w:name w:val="WKN"/>
    <w:aliases w:val="Emittent"/>
    <w:basedOn w:val="Normal"/>
    <w:uiPriority w:val="99"/>
    <w:rsid w:val="003E5A8F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3E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bb.bg/business-clients/business-treasury/business-derivati-i-drugi-finansovi-instru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lbi@ub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Petar S. Tabanov</cp:lastModifiedBy>
  <cp:revision>3</cp:revision>
  <dcterms:created xsi:type="dcterms:W3CDTF">2020-11-06T07:10:00Z</dcterms:created>
  <dcterms:modified xsi:type="dcterms:W3CDTF">2020-11-06T09:22:00Z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1570796249</vt:lpwstr>
  </property>
  <property fmtid="{D5CDD505-2E9C-101B-9397-08002B2CF9AE}" pid="5" name="DLPManualFileClassificationVersion">
    <vt:lpwstr>11.1.0.61</vt:lpwstr>
  </property>
</Properties>
</file>