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8F" w:rsidRPr="00FA089A" w:rsidRDefault="003E5A8F" w:rsidP="00FA089A">
      <w:pPr>
        <w:pStyle w:val="BodyText"/>
        <w:ind w:right="332"/>
        <w:jc w:val="center"/>
        <w:rPr>
          <w:rFonts w:ascii="Bookman Old Style" w:hAnsi="Bookman Old Style"/>
          <w:b/>
          <w:bCs/>
          <w:color w:val="00B0F0"/>
          <w:sz w:val="36"/>
          <w:szCs w:val="36"/>
          <w:lang w:val="bg-BG"/>
        </w:rPr>
      </w:pPr>
      <w:r w:rsidRPr="00FA089A">
        <w:rPr>
          <w:rFonts w:ascii="Bookman Old Style" w:hAnsi="Bookman Old Style"/>
          <w:b/>
          <w:color w:val="00B0F0"/>
          <w:spacing w:val="-3"/>
          <w:w w:val="85"/>
          <w:sz w:val="36"/>
          <w:szCs w:val="36"/>
          <w:lang w:val="bg-BG"/>
        </w:rPr>
        <w:t>Основен информационен документ</w:t>
      </w:r>
    </w:p>
    <w:p w:rsidR="003E5A8F" w:rsidRPr="002E0F29" w:rsidRDefault="003E5A8F" w:rsidP="00CB6BA7">
      <w:pPr>
        <w:pStyle w:val="BodyText"/>
        <w:ind w:right="332"/>
        <w:rPr>
          <w:rFonts w:ascii="Bookman Old Style" w:hAnsi="Bookman Old Style"/>
          <w:b/>
          <w:bCs/>
          <w:noProof/>
          <w:color w:val="00B0F0"/>
          <w:sz w:val="20"/>
          <w:szCs w:val="20"/>
          <w:lang w:val="bg-BG"/>
        </w:rPr>
      </w:pPr>
    </w:p>
    <w:p w:rsidR="003E5A8F" w:rsidRPr="00A24E76" w:rsidRDefault="003E5A8F" w:rsidP="003E5A8F">
      <w:pPr>
        <w:pStyle w:val="BodyText"/>
        <w:ind w:right="332"/>
        <w:rPr>
          <w:rFonts w:ascii="Bookman Old Style" w:hAnsi="Bookman Old Style" w:cs="Times New Roman"/>
          <w:lang w:val="bg-BG"/>
        </w:rPr>
      </w:pPr>
      <w:r w:rsidRPr="00A24E76">
        <w:rPr>
          <w:rFonts w:ascii="Bookman Old Style" w:hAnsi="Bookman Old Style" w:cs="Times New Roman"/>
          <w:lang w:val="bg-BG"/>
        </w:rPr>
        <w:t>Настоящият документ Ви представя основната информация за този продукт. Това не е рекламен материал. Информацията се изисква от закона, за да Ви помогне да разберете естеството, рисковете, разходите, потенциалните печалби и за</w:t>
      </w:r>
      <w:r w:rsidR="00A24E76" w:rsidRPr="00A24E76">
        <w:rPr>
          <w:rFonts w:ascii="Bookman Old Style" w:hAnsi="Bookman Old Style" w:cs="Times New Roman"/>
          <w:lang w:val="bg-BG"/>
        </w:rPr>
        <w:t xml:space="preserve">губи от този продукт и да Ви </w:t>
      </w:r>
      <w:r w:rsidRPr="00A24E76">
        <w:rPr>
          <w:rFonts w:ascii="Bookman Old Style" w:hAnsi="Bookman Old Style" w:cs="Times New Roman"/>
          <w:lang w:val="bg-BG"/>
        </w:rPr>
        <w:t>помогне да го сравните с други продукти.</w:t>
      </w:r>
    </w:p>
    <w:p w:rsidR="002E0F29" w:rsidRPr="002E0F29" w:rsidRDefault="002E0F29" w:rsidP="003E5A8F">
      <w:pPr>
        <w:pStyle w:val="BodyText"/>
        <w:ind w:right="332"/>
        <w:rPr>
          <w:rFonts w:ascii="Bookman Old Style" w:eastAsia="Arial Narrow" w:hAnsi="Bookman Old Style" w:cs="Arial Narrow"/>
          <w:noProof/>
          <w:sz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3892"/>
      </w:tblGrid>
      <w:tr w:rsidR="00317E13" w:rsidRPr="002E0F29" w:rsidTr="002E0F29">
        <w:tc>
          <w:tcPr>
            <w:tcW w:w="13892" w:type="dxa"/>
            <w:shd w:val="clear" w:color="auto" w:fill="00B0F0"/>
          </w:tcPr>
          <w:p w:rsidR="00317E13" w:rsidRPr="002E0F29" w:rsidRDefault="00F06D54" w:rsidP="007E1C4D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 xml:space="preserve">ОТВОРЕН </w:t>
            </w:r>
            <w:r w:rsidR="00FA089A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 xml:space="preserve">ВАЛУТЕН </w:t>
            </w:r>
            <w:r w:rsidR="00317E13" w:rsidRPr="002E0F29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ФОРУЪРД (</w:t>
            </w:r>
            <w:r w:rsidR="007E1C4D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ПОКУПКА</w:t>
            </w:r>
            <w:r w:rsidR="00317E13" w:rsidRPr="002E0F29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)</w:t>
            </w:r>
          </w:p>
        </w:tc>
      </w:tr>
      <w:tr w:rsidR="00824FC3" w:rsidRPr="002E0F29" w:rsidTr="002E0F29">
        <w:trPr>
          <w:trHeight w:val="1233"/>
        </w:trPr>
        <w:tc>
          <w:tcPr>
            <w:tcW w:w="13892" w:type="dxa"/>
            <w:shd w:val="clear" w:color="auto" w:fill="00B0F0"/>
          </w:tcPr>
          <w:p w:rsidR="003E5A8F" w:rsidRPr="00FA089A" w:rsidRDefault="00FA089A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Продуктът е създаден от</w:t>
            </w:r>
            <w:r w:rsidR="003E5A8F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: ОББ АД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 xml:space="preserve"> (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https://www.ubb.bg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)</w:t>
            </w:r>
          </w:p>
          <w:p w:rsidR="008A4018" w:rsidRPr="00FA089A" w:rsidRDefault="00171600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За повече информация се обадете </w:t>
            </w:r>
            <w:r w:rsidR="003E5A8F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на </w:t>
            </w:r>
            <w:r w:rsidR="00D62CBA" w:rsidRPr="00FA089A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>телефон 02 811 2449</w:t>
            </w:r>
          </w:p>
          <w:p w:rsidR="003E5A8F" w:rsidRPr="00FA089A" w:rsidRDefault="003E5A8F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Компетентен орган: Комисия за финансов надзор</w:t>
            </w:r>
            <w:r w:rsidR="00E3324B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(</w:t>
            </w:r>
            <w:r w:rsidR="00E3324B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www.fsc.bg)</w:t>
            </w:r>
          </w:p>
          <w:p w:rsidR="00824FC3" w:rsidRPr="002E0F29" w:rsidRDefault="003E5A8F" w:rsidP="00F06D54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</w:pPr>
            <w:r w:rsidRPr="00FA089A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Дата на изготвяне на документа с ключова информация: </w:t>
            </w:r>
            <w:r w:rsidR="00662B5F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01 Октомври</w:t>
            </w:r>
            <w:bookmarkStart w:id="0" w:name="_GoBack"/>
            <w:bookmarkEnd w:id="0"/>
            <w:r w:rsidRPr="00FA089A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 20</w:t>
            </w:r>
            <w:r w:rsidR="00F06D54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20</w:t>
            </w:r>
            <w:r w:rsidRPr="00FA089A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 г..</w:t>
            </w:r>
          </w:p>
        </w:tc>
      </w:tr>
    </w:tbl>
    <w:p w:rsidR="00C31F63" w:rsidRPr="002E0F29" w:rsidRDefault="00C31F63" w:rsidP="00C31F63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5A8F" w:rsidRPr="00A24E76" w:rsidRDefault="003E5A8F" w:rsidP="003E5A8F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theme="minorHAnsi"/>
          <w:b/>
          <w:sz w:val="16"/>
          <w:szCs w:val="16"/>
          <w:lang w:val="bg-BG"/>
        </w:rPr>
        <w:t>Внимание: Предстои да закупите продукт, който не е прост и може да бъде труден за разбиране.</w:t>
      </w:r>
    </w:p>
    <w:p w:rsidR="003E5A8F" w:rsidRPr="00A24E76" w:rsidRDefault="003E5A8F" w:rsidP="00C31F63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A24E76">
        <w:rPr>
          <w:rFonts w:ascii="Bookman Old Style" w:hAnsi="Bookman Old Style" w:cs="Cambria"/>
          <w:b/>
          <w:sz w:val="24"/>
          <w:szCs w:val="24"/>
          <w:lang w:val="bg-BG"/>
        </w:rPr>
        <w:t>Какъв е този продукт?</w:t>
      </w:r>
    </w:p>
    <w:p w:rsidR="00C31F63" w:rsidRPr="00A24E76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Вид</w:t>
      </w:r>
    </w:p>
    <w:p w:rsidR="00C31F63" w:rsidRPr="00A24E76" w:rsidRDefault="00FD522E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t>Отворен в</w:t>
      </w:r>
      <w:r w:rsidR="00A24E76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алутен </w:t>
      </w:r>
      <w:proofErr w:type="spellStart"/>
      <w:r w:rsidR="00A24E76" w:rsidRPr="00A24E76">
        <w:rPr>
          <w:rFonts w:ascii="Bookman Old Style" w:hAnsi="Bookman Old Style" w:cs="Times New Roman"/>
          <w:sz w:val="16"/>
          <w:szCs w:val="16"/>
          <w:lang w:val="bg-BG"/>
        </w:rPr>
        <w:t>ф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>оруърд</w:t>
      </w:r>
      <w:proofErr w:type="spellEnd"/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="007E1C4D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>)</w:t>
      </w:r>
    </w:p>
    <w:p w:rsidR="00C31F63" w:rsidRPr="00A24E76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Цели</w:t>
      </w:r>
    </w:p>
    <w:p w:rsidR="00C31F63" w:rsidRPr="00A24E76" w:rsidRDefault="00FD522E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t xml:space="preserve">Договорът за отворен валутен </w:t>
      </w:r>
      <w:proofErr w:type="spellStart"/>
      <w:r>
        <w:rPr>
          <w:rFonts w:ascii="Bookman Old Style" w:hAnsi="Bookman Old Style" w:cs="Times New Roman"/>
          <w:sz w:val="16"/>
          <w:szCs w:val="16"/>
          <w:lang w:val="bg-BG"/>
        </w:rPr>
        <w:t>форуърд</w:t>
      </w:r>
      <w:proofErr w:type="spellEnd"/>
      <w:r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>(</w:t>
      </w:r>
      <w:r w:rsidR="00A24E76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за </w:t>
      </w:r>
      <w:r w:rsidR="007E1C4D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) </w:t>
      </w:r>
      <w:r w:rsidR="00DD199F" w:rsidRPr="00A24E76">
        <w:rPr>
          <w:rFonts w:ascii="Bookman Old Style" w:hAnsi="Bookman Old Style" w:cs="Times New Roman"/>
          <w:sz w:val="16"/>
          <w:szCs w:val="16"/>
          <w:lang w:val="bg-BG"/>
        </w:rPr>
        <w:t>представлява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5535B9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споразумение за бъдеща </w:t>
      </w:r>
      <w:r w:rsidR="00E50F4D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на дадена сума </w:t>
      </w:r>
      <w:r w:rsidR="00A26851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в 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чуждестранна валута </w:t>
      </w:r>
      <w:r w:rsidR="00A24E76" w:rsidRPr="00A24E76">
        <w:rPr>
          <w:rFonts w:ascii="Bookman Old Style" w:hAnsi="Bookman Old Style" w:cs="Times New Roman"/>
          <w:sz w:val="16"/>
          <w:szCs w:val="16"/>
          <w:lang w:val="bg-BG"/>
        </w:rPr>
        <w:t>при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 определен обменен курс</w:t>
      </w:r>
      <w:r>
        <w:rPr>
          <w:rFonts w:ascii="Bookman Old Style" w:hAnsi="Bookman Old Style" w:cs="Times New Roman"/>
          <w:sz w:val="16"/>
          <w:szCs w:val="16"/>
          <w:lang w:val="bg-BG"/>
        </w:rPr>
        <w:t>, който е приложим</w:t>
      </w:r>
      <w:r w:rsidR="00731B89">
        <w:rPr>
          <w:rFonts w:ascii="Bookman Old Style" w:hAnsi="Bookman Old Style" w:cs="Times New Roman"/>
          <w:sz w:val="16"/>
          <w:szCs w:val="16"/>
          <w:lang w:val="bg-BG"/>
        </w:rPr>
        <w:t xml:space="preserve"> в рамките на</w:t>
      </w:r>
      <w:r w:rsidR="00824325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 определен прозорец</w:t>
      </w:r>
      <w:r>
        <w:rPr>
          <w:rFonts w:ascii="Bookman Old Style" w:hAnsi="Bookman Old Style" w:cs="Times New Roman"/>
          <w:sz w:val="16"/>
          <w:szCs w:val="16"/>
          <w:lang w:val="bg-BG"/>
        </w:rPr>
        <w:t xml:space="preserve"> от време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. </w:t>
      </w:r>
      <w:r w:rsidR="004E3B23" w:rsidRPr="00A24E76">
        <w:rPr>
          <w:rFonts w:ascii="Bookman Old Style" w:hAnsi="Bookman Old Style" w:cs="Times New Roman"/>
          <w:sz w:val="16"/>
          <w:szCs w:val="16"/>
          <w:lang w:val="bg-BG"/>
        </w:rPr>
        <w:t>При сключване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на договора се договарят следн</w:t>
      </w:r>
      <w:r w:rsidR="004E3B23" w:rsidRPr="00A24E76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="004E3B23" w:rsidRPr="00A24E76">
        <w:rPr>
          <w:rFonts w:ascii="Bookman Old Style" w:hAnsi="Bookman Old Style" w:cs="Times New Roman"/>
          <w:sz w:val="16"/>
          <w:szCs w:val="16"/>
          <w:lang w:val="bg-BG"/>
        </w:rPr>
        <w:t>е елементи:</w:t>
      </w:r>
    </w:p>
    <w:p w:rsidR="004E3B23" w:rsidRPr="00A24E76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Номинална сума;</w:t>
      </w:r>
    </w:p>
    <w:p w:rsidR="004E3B23" w:rsidRPr="00A24E76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Обменен курс на съответните валути;</w:t>
      </w:r>
    </w:p>
    <w:p w:rsidR="004E3B23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Дата на доставка.</w:t>
      </w:r>
    </w:p>
    <w:p w:rsidR="00FD522E" w:rsidRPr="00A24E76" w:rsidRDefault="00E073EE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t>Прозорец от време,</w:t>
      </w:r>
      <w:r w:rsidR="00731B89">
        <w:rPr>
          <w:rFonts w:ascii="Bookman Old Style" w:hAnsi="Bookman Old Style" w:cs="Times New Roman"/>
          <w:sz w:val="16"/>
          <w:szCs w:val="16"/>
          <w:lang w:val="bg-BG"/>
        </w:rPr>
        <w:t xml:space="preserve"> в който</w:t>
      </w:r>
      <w:r>
        <w:rPr>
          <w:rFonts w:ascii="Bookman Old Style" w:hAnsi="Bookman Old Style" w:cs="Times New Roman"/>
          <w:sz w:val="16"/>
          <w:szCs w:val="16"/>
          <w:lang w:val="en-US"/>
        </w:rPr>
        <w:t xml:space="preserve"> </w:t>
      </w:r>
      <w:r>
        <w:rPr>
          <w:rFonts w:ascii="Bookman Old Style" w:hAnsi="Bookman Old Style" w:cs="Times New Roman"/>
          <w:sz w:val="16"/>
          <w:szCs w:val="16"/>
          <w:lang w:val="bg-BG"/>
        </w:rPr>
        <w:t>може да</w:t>
      </w:r>
      <w:r w:rsidR="00731B89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proofErr w:type="spellStart"/>
      <w:r w:rsidR="00FD522E">
        <w:rPr>
          <w:rFonts w:ascii="Bookman Old Style" w:hAnsi="Bookman Old Style" w:cs="Times New Roman"/>
          <w:sz w:val="16"/>
          <w:szCs w:val="16"/>
          <w:lang w:val="bg-BG"/>
        </w:rPr>
        <w:t>падеж</w:t>
      </w:r>
      <w:r>
        <w:rPr>
          <w:rFonts w:ascii="Bookman Old Style" w:hAnsi="Bookman Old Style" w:cs="Times New Roman"/>
          <w:sz w:val="16"/>
          <w:szCs w:val="16"/>
          <w:lang w:val="bg-BG"/>
        </w:rPr>
        <w:t>ира</w:t>
      </w:r>
      <w:proofErr w:type="spellEnd"/>
      <w:r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proofErr w:type="spellStart"/>
      <w:r>
        <w:rPr>
          <w:rFonts w:ascii="Bookman Old Style" w:hAnsi="Bookman Old Style" w:cs="Times New Roman"/>
          <w:sz w:val="16"/>
          <w:szCs w:val="16"/>
          <w:lang w:val="bg-BG"/>
        </w:rPr>
        <w:t>форуърда</w:t>
      </w:r>
      <w:proofErr w:type="spellEnd"/>
      <w:r>
        <w:rPr>
          <w:rFonts w:ascii="Bookman Old Style" w:hAnsi="Bookman Old Style" w:cs="Times New Roman"/>
          <w:sz w:val="16"/>
          <w:szCs w:val="16"/>
          <w:lang w:val="bg-BG"/>
        </w:rPr>
        <w:t xml:space="preserve"> и да бъде използван предварително договорения валутен курс</w:t>
      </w:r>
      <w:r w:rsidR="00FD522E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4E3B23" w:rsidRPr="00A24E76" w:rsidRDefault="004E3B23" w:rsidP="004E3B23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sz w:val="16"/>
          <w:szCs w:val="16"/>
          <w:lang w:val="bg-BG"/>
        </w:rPr>
        <w:t>Предимства на сделката</w:t>
      </w:r>
    </w:p>
    <w:p w:rsidR="004E3B23" w:rsidRPr="00A24E76" w:rsidRDefault="004E3B23" w:rsidP="00824FC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Обменният курс е фиксиран предварително</w:t>
      </w:r>
      <w:r w:rsidR="00FD522E">
        <w:rPr>
          <w:rFonts w:ascii="Bookman Old Style" w:hAnsi="Bookman Old Style" w:cs="Times New Roman"/>
          <w:sz w:val="16"/>
          <w:szCs w:val="16"/>
          <w:lang w:val="bg-BG"/>
        </w:rPr>
        <w:t xml:space="preserve"> за договорения период</w:t>
      </w:r>
      <w:r w:rsidR="00824325">
        <w:rPr>
          <w:rFonts w:ascii="Bookman Old Style" w:hAnsi="Bookman Old Style" w:cs="Times New Roman"/>
          <w:sz w:val="16"/>
          <w:szCs w:val="16"/>
          <w:lang w:val="bg-BG"/>
        </w:rPr>
        <w:t xml:space="preserve"> на прозореца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, 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което Ви дава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сигурност;</w:t>
      </w:r>
    </w:p>
    <w:p w:rsidR="004E3B23" w:rsidRPr="00A24E76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Не се заплаща премия;</w:t>
      </w:r>
    </w:p>
    <w:p w:rsidR="004E3B23" w:rsidRPr="00A24E76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Цялостна защита срещу не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 xml:space="preserve">благоприятни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движения на </w:t>
      </w:r>
      <w:proofErr w:type="spellStart"/>
      <w:r w:rsidRPr="00A24E76">
        <w:rPr>
          <w:rFonts w:ascii="Bookman Old Style" w:hAnsi="Bookman Old Style" w:cs="Times New Roman"/>
          <w:sz w:val="16"/>
          <w:szCs w:val="16"/>
          <w:lang w:val="bg-BG"/>
        </w:rPr>
        <w:t>хеджираната</w:t>
      </w:r>
      <w:proofErr w:type="spellEnd"/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валута.</w:t>
      </w:r>
    </w:p>
    <w:p w:rsidR="004E3B23" w:rsidRPr="00A24E76" w:rsidRDefault="004E3B23" w:rsidP="004E3B23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sz w:val="16"/>
          <w:szCs w:val="16"/>
          <w:lang w:val="bg-BG"/>
        </w:rPr>
        <w:t>Рискове от сделката</w:t>
      </w:r>
    </w:p>
    <w:p w:rsidR="004E3B23" w:rsidRPr="00A24E76" w:rsidRDefault="00186D6F" w:rsidP="004E3B2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Реалната </w:t>
      </w:r>
      <w:r w:rsidR="00317E13" w:rsidRPr="00A24E76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азарна стойност на</w:t>
      </w:r>
      <w:r w:rsidR="00824325">
        <w:rPr>
          <w:rFonts w:ascii="Bookman Old Style" w:hAnsi="Bookman Old Style" w:cs="Times New Roman"/>
          <w:sz w:val="16"/>
          <w:szCs w:val="16"/>
          <w:lang w:val="bg-BG"/>
        </w:rPr>
        <w:t xml:space="preserve"> отворения </w:t>
      </w:r>
      <w:proofErr w:type="spellStart"/>
      <w:r w:rsidR="00824325">
        <w:rPr>
          <w:rFonts w:ascii="Bookman Old Style" w:hAnsi="Bookman Old Style" w:cs="Times New Roman"/>
          <w:sz w:val="16"/>
          <w:szCs w:val="16"/>
          <w:lang w:val="bg-BG"/>
        </w:rPr>
        <w:t>форуърд</w:t>
      </w:r>
      <w:proofErr w:type="spellEnd"/>
      <w:r w:rsidR="00824325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се повлиява от спот курс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, лихвените проценти на двете валути и разликата между тях за оставащото време до падеж;</w:t>
      </w:r>
    </w:p>
    <w:p w:rsidR="00186D6F" w:rsidRPr="00A24E76" w:rsidRDefault="00186D6F" w:rsidP="00824FC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lastRenderedPageBreak/>
        <w:t xml:space="preserve">Тъй като </w:t>
      </w:r>
      <w:proofErr w:type="spellStart"/>
      <w:r w:rsidRPr="00A24E76">
        <w:rPr>
          <w:rFonts w:ascii="Bookman Old Style" w:hAnsi="Bookman Old Style" w:cs="Times New Roman"/>
          <w:sz w:val="16"/>
          <w:szCs w:val="16"/>
          <w:lang w:val="bg-BG"/>
        </w:rPr>
        <w:t>форуърдната</w:t>
      </w:r>
      <w:proofErr w:type="spellEnd"/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сделка е задължение за </w:t>
      </w:r>
      <w:r w:rsidR="007E1C4D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на дадена валута при предварително определен валутен курс и на точно определена бъдеща дата, </w:t>
      </w:r>
      <w:r w:rsidR="00A26851" w:rsidRPr="00A24E76">
        <w:rPr>
          <w:rFonts w:ascii="Bookman Old Style" w:hAnsi="Bookman Old Style" w:cs="Times New Roman"/>
          <w:sz w:val="16"/>
          <w:szCs w:val="16"/>
          <w:lang w:val="bg-BG"/>
        </w:rPr>
        <w:t>съществува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вероятността от нежелана печалба </w:t>
      </w:r>
      <w:r w:rsidR="00970226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или загуба, ако базовият риск </w:t>
      </w:r>
      <w:r w:rsidR="00A26851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не </w:t>
      </w:r>
      <w:r w:rsidR="00970226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е </w:t>
      </w:r>
      <w:r w:rsidR="00A26851" w:rsidRPr="00A24E76">
        <w:rPr>
          <w:rFonts w:ascii="Bookman Old Style" w:hAnsi="Bookman Old Style" w:cs="Times New Roman"/>
          <w:sz w:val="16"/>
          <w:szCs w:val="16"/>
          <w:lang w:val="bg-BG"/>
        </w:rPr>
        <w:t>налице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. </w:t>
      </w:r>
      <w:r w:rsidR="005535B9" w:rsidRPr="00A24E76">
        <w:rPr>
          <w:rFonts w:ascii="Bookman Old Style" w:hAnsi="Bookman Old Style" w:cs="Times New Roman"/>
          <w:sz w:val="16"/>
          <w:szCs w:val="16"/>
          <w:lang w:val="bg-BG"/>
        </w:rPr>
        <w:t>На теория потенциалните печалби и загуби от валутните курсове могат да бъдат неограничени</w:t>
      </w:r>
      <w:r w:rsidR="00970226" w:rsidRPr="00A24E76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3317E4" w:rsidRPr="00A24E76" w:rsidRDefault="003317E4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en-US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Предназначено за непрофесионални клиенти според Директивата на ЕС относно пазарите на финансови инструменти</w:t>
      </w:r>
      <w:r w:rsidR="005535B9"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 </w:t>
      </w:r>
      <w:r w:rsidR="005535B9" w:rsidRPr="00A24E76">
        <w:rPr>
          <w:rFonts w:ascii="Bookman Old Style" w:hAnsi="Bookman Old Style" w:cs="Times New Roman"/>
          <w:b/>
          <w:color w:val="00B0F0"/>
          <w:sz w:val="16"/>
          <w:szCs w:val="16"/>
          <w:lang w:val="en-US"/>
        </w:rPr>
        <w:t>(MiFID)</w:t>
      </w:r>
    </w:p>
    <w:p w:rsidR="00970226" w:rsidRPr="00A24E76" w:rsidRDefault="005535B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ОББ АД 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>предлага този продукт като един от инструментите, които могат да бъдат използвани от не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йните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непрофесионални клиенти според Директивата на ЕС относно пазарите на финансови инструменти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Pr="00A24E76">
        <w:rPr>
          <w:rFonts w:ascii="Bookman Old Style" w:hAnsi="Bookman Old Style" w:cs="Times New Roman"/>
          <w:sz w:val="16"/>
          <w:szCs w:val="16"/>
          <w:lang w:val="en-US"/>
        </w:rPr>
        <w:t>MiFID)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за хеджиране на т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ехните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валутн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експозици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>. Продуктът не е инвестиционен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, в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смисъл, че непрофесио</w:t>
      </w:r>
      <w:r w:rsidR="005D6BD2" w:rsidRPr="00A24E76">
        <w:rPr>
          <w:rFonts w:ascii="Bookman Old Style" w:hAnsi="Bookman Old Style" w:cs="Times New Roman"/>
          <w:sz w:val="16"/>
          <w:szCs w:val="16"/>
          <w:lang w:val="bg-BG"/>
        </w:rPr>
        <w:t>налният клиент ще опита да реал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5D6BD2" w:rsidRPr="00A24E76">
        <w:rPr>
          <w:rFonts w:ascii="Bookman Old Style" w:hAnsi="Bookman Old Style" w:cs="Times New Roman"/>
          <w:sz w:val="16"/>
          <w:szCs w:val="16"/>
          <w:lang w:val="bg-BG"/>
        </w:rPr>
        <w:t>з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ира печалба, инвестирайки (т.е. закупувайки и продавайки) в този продукт.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Продуктът се предлага само като средство за създаване на защита на непрофесионалния клиент срещу не</w:t>
      </w:r>
      <w:r w:rsidR="00294EBC">
        <w:rPr>
          <w:rFonts w:ascii="Bookman Old Style" w:hAnsi="Bookman Old Style" w:cs="Times New Roman"/>
          <w:sz w:val="16"/>
          <w:szCs w:val="16"/>
          <w:lang w:val="bg-BG"/>
        </w:rPr>
        <w:t>благоприятни</w:t>
      </w:r>
      <w:r w:rsidR="00FD522E">
        <w:rPr>
          <w:rFonts w:ascii="Bookman Old Style" w:hAnsi="Bookman Old Style" w:cs="Times New Roman"/>
          <w:sz w:val="16"/>
          <w:szCs w:val="16"/>
          <w:lang w:val="bg-BG"/>
        </w:rPr>
        <w:t xml:space="preserve"> валутни движения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>. Като такъв, комбинацията от този продукт с базовата експозиция ще определи рисковата експозиция на клиента.</w:t>
      </w:r>
    </w:p>
    <w:p w:rsidR="003E5A8F" w:rsidRPr="00294EBC" w:rsidRDefault="003E5A8F" w:rsidP="003E5A8F">
      <w:pPr>
        <w:rPr>
          <w:rFonts w:ascii="Bookman Old Style" w:hAnsi="Bookman Old Style"/>
          <w:noProof/>
          <w:sz w:val="24"/>
          <w:szCs w:val="24"/>
          <w:lang w:val="bg-BG"/>
        </w:rPr>
      </w:pPr>
      <w:r w:rsidRPr="00294EBC">
        <w:rPr>
          <w:rFonts w:ascii="Bookman Old Style" w:hAnsi="Bookman Old Style" w:cs="Cambria"/>
          <w:b/>
          <w:sz w:val="24"/>
          <w:szCs w:val="24"/>
          <w:lang w:val="bg-BG"/>
        </w:rPr>
        <w:t>Какви са рисковете и каква възвръщаемост бих могъл(могла) да получа?</w:t>
      </w: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Индикатор на риска</w:t>
      </w:r>
    </w:p>
    <w:tbl>
      <w:tblPr>
        <w:tblStyle w:val="TableGrid"/>
        <w:tblpPr w:leftFromText="180" w:rightFromText="180" w:vertAnchor="text" w:horzAnchor="margin" w:tblpY="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08"/>
        <w:gridCol w:w="4508"/>
      </w:tblGrid>
      <w:tr w:rsidR="00824FC3" w:rsidRPr="00A24E76" w:rsidTr="00824FC3">
        <w:trPr>
          <w:trHeight w:val="2052"/>
        </w:trPr>
        <w:tc>
          <w:tcPr>
            <w:tcW w:w="4508" w:type="dxa"/>
            <w:shd w:val="clear" w:color="auto" w:fill="00B0F0"/>
          </w:tcPr>
          <w:p w:rsidR="00824FC3" w:rsidRPr="00A24E76" w:rsidRDefault="00824FC3" w:rsidP="00824FC3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По-нисък риск</w:t>
            </w: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606FAB6D" wp14:editId="37106A89">
                  <wp:simplePos x="0" y="0"/>
                  <wp:positionH relativeFrom="column">
                    <wp:posOffset>34036</wp:posOffset>
                  </wp:positionH>
                  <wp:positionV relativeFrom="paragraph">
                    <wp:posOffset>115062</wp:posOffset>
                  </wp:positionV>
                  <wp:extent cx="944880" cy="876300"/>
                  <wp:effectExtent l="0" t="0" r="7620" b="0"/>
                  <wp:wrapNone/>
                  <wp:docPr id="4" name="Picture 4" descr="D:\Prevodi\Mitra\KBC exclamation 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evodi\Mitra\KBC exclamation 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     </w:t>
            </w:r>
          </w:p>
        </w:tc>
        <w:tc>
          <w:tcPr>
            <w:tcW w:w="4508" w:type="dxa"/>
            <w:shd w:val="clear" w:color="auto" w:fill="00B0F0"/>
          </w:tcPr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По-висок риск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</w:t>
            </w:r>
          </w:p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D3DFDE" wp14:editId="5A3FEFCF">
                      <wp:simplePos x="0" y="0"/>
                      <wp:positionH relativeFrom="column">
                        <wp:posOffset>-1917471</wp:posOffset>
                      </wp:positionH>
                      <wp:positionV relativeFrom="paragraph">
                        <wp:posOffset>284353</wp:posOffset>
                      </wp:positionV>
                      <wp:extent cx="4718228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22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FC3" w:rsidRDefault="00824FC3" w:rsidP="00824FC3"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Индикаторът на риска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е при допускането</w:t>
                                  </w:r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, че ще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държите</w:t>
                                  </w:r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 продукта за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период от </w:t>
                                  </w:r>
                                  <w:r w:rsidRPr="00FD522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red"/>
                                      <w:lang w:val="bg-BG"/>
                                    </w:rPr>
                                    <w:t>12 месеца</w:t>
                                  </w:r>
                                  <w:r w:rsidRPr="006E35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bg-BG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D3DF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1pt;margin-top:22.4pt;width:37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AJDg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" filled="f" stroked="f">
                      <v:textbox style="mso-fit-shape-to-text:t">
                        <w:txbxContent>
                          <w:p w:rsidR="00824FC3" w:rsidRDefault="00824FC3" w:rsidP="00824FC3"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Индикаторът на риска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е при допускането</w:t>
                            </w:r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, че ще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държите</w:t>
                            </w:r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 продукта за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период от </w:t>
                            </w:r>
                            <w:r w:rsidRPr="00FD522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red"/>
                                <w:lang w:val="bg-BG"/>
                              </w:rPr>
                              <w:t>12 месеца</w:t>
                            </w:r>
                            <w:r w:rsidRPr="006E35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g-BG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824FC3" w:rsidRPr="00A24E76" w:rsidRDefault="00824FC3" w:rsidP="00824FC3">
            <w:pPr>
              <w:ind w:left="-26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</w:tbl>
    <w:p w:rsidR="005A25F9" w:rsidRPr="00A24E76" w:rsidRDefault="005A25F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noProof/>
          <w:sz w:val="16"/>
          <w:szCs w:val="16"/>
          <w:lang w:val="bg-BG" w:eastAsia="bg-BG"/>
        </w:rPr>
        <w:drawing>
          <wp:inline distT="0" distB="0" distL="0" distR="0" wp14:anchorId="61DFBFD3" wp14:editId="5FCEE382">
            <wp:extent cx="5730321" cy="952500"/>
            <wp:effectExtent l="0" t="0" r="3810" b="0"/>
            <wp:docPr id="2" name="Picture 2" descr="D:\Prevodi\Mitra\KBC risk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vodi\Mitra\KBC risk sc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68" cy="9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F" w:rsidRDefault="00C54CCF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Pr="00A24E76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Pr="00A24E76" w:rsidRDefault="00294EBC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t xml:space="preserve">Обобщеният индикатор на риска представлява насока относно 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нивото на риск </w:t>
      </w:r>
      <w:r>
        <w:rPr>
          <w:rFonts w:ascii="Bookman Old Style" w:hAnsi="Bookman Old Style" w:cs="Times New Roman"/>
          <w:sz w:val="16"/>
          <w:szCs w:val="16"/>
          <w:lang w:val="bg-BG"/>
        </w:rPr>
        <w:t>при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този продукт</w:t>
      </w:r>
      <w:r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 сравнение с други </w:t>
      </w:r>
      <w:r w:rsidR="005D6BD2" w:rsidRPr="00A24E76">
        <w:rPr>
          <w:rFonts w:ascii="Bookman Old Style" w:hAnsi="Bookman Old Style" w:cs="Times New Roman"/>
          <w:sz w:val="16"/>
          <w:szCs w:val="16"/>
          <w:lang w:val="bg-BG"/>
        </w:rPr>
        <w:t>продукти. Той показва доколко</w:t>
      </w:r>
      <w:r w:rsidR="00DD199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>е вероятно продуктът да доведе до загуба на пари поради движенията на пазарите или поради това, че нямаме възможност да Ви платим.</w:t>
      </w:r>
    </w:p>
    <w:p w:rsidR="00294EBC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Класифицирахме този продукт с оцен</w:t>
      </w:r>
      <w:r w:rsidR="00C27091" w:rsidRPr="00A24E76">
        <w:rPr>
          <w:rFonts w:ascii="Bookman Old Style" w:hAnsi="Bookman Old Style" w:cs="Times New Roman"/>
          <w:sz w:val="16"/>
          <w:szCs w:val="16"/>
          <w:lang w:val="bg-BG"/>
        </w:rPr>
        <w:t>ка 7 от 7, което представ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л</w:t>
      </w:r>
      <w:r w:rsidR="00C27091" w:rsidRPr="00A24E76">
        <w:rPr>
          <w:rFonts w:ascii="Bookman Old Style" w:hAnsi="Bookman Old Style" w:cs="Times New Roman"/>
          <w:sz w:val="16"/>
          <w:szCs w:val="16"/>
          <w:lang w:val="bg-BG"/>
        </w:rPr>
        <w:t>я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ва най-високия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рисков клас.</w:t>
      </w:r>
    </w:p>
    <w:p w:rsidR="00294EBC" w:rsidRDefault="00294EBC">
      <w:pPr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br w:type="page"/>
      </w: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Сценарии </w:t>
      </w:r>
      <w:r w:rsidR="00294EB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за резултатите</w:t>
      </w:r>
    </w:p>
    <w:p w:rsidR="00657427" w:rsidRPr="00657427" w:rsidRDefault="00657427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657427">
        <w:rPr>
          <w:rFonts w:ascii="Bookman Old Style" w:hAnsi="Bookman Old Style" w:cs="Times New Roman"/>
          <w:sz w:val="16"/>
          <w:szCs w:val="16"/>
          <w:lang w:val="bg-BG"/>
        </w:rPr>
        <w:t xml:space="preserve">Движението на финансовите пазари не може да бъде предвидено с точност. Сценариите по-долу показват само някои възможности въз основа на исторически пазарни стойности.  </w:t>
      </w:r>
      <w:r>
        <w:rPr>
          <w:rFonts w:ascii="Bookman Old Style" w:hAnsi="Bookman Old Style" w:cs="Times New Roman"/>
          <w:sz w:val="16"/>
          <w:szCs w:val="16"/>
          <w:lang w:val="bg-BG"/>
        </w:rPr>
        <w:t>В действителност реализираната доходност може да бъде и в по-малък размер.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681"/>
        <w:gridCol w:w="3827"/>
        <w:gridCol w:w="1531"/>
      </w:tblGrid>
      <w:tr w:rsidR="005A25F9" w:rsidRPr="00A24E76" w:rsidTr="005A25F9">
        <w:tc>
          <w:tcPr>
            <w:tcW w:w="3681" w:type="dxa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824FC3"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евро</w:t>
            </w:r>
          </w:p>
        </w:tc>
        <w:tc>
          <w:tcPr>
            <w:tcW w:w="3827" w:type="dxa"/>
            <w:vMerge w:val="restart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1531" w:type="dxa"/>
            <w:vMerge w:val="restart"/>
            <w:shd w:val="clear" w:color="auto" w:fill="00B0F0"/>
          </w:tcPr>
          <w:p w:rsidR="00C54CCF" w:rsidRPr="00A24E76" w:rsidRDefault="00C54CCF" w:rsidP="00C54CCF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Падеж</w:t>
            </w:r>
          </w:p>
        </w:tc>
      </w:tr>
      <w:tr w:rsidR="005A25F9" w:rsidRPr="00A24E76" w:rsidTr="005A25F9">
        <w:tc>
          <w:tcPr>
            <w:tcW w:w="3681" w:type="dxa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3827" w:type="dxa"/>
            <w:vMerge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C54CCF" w:rsidRPr="00A24E76" w:rsidTr="00C27091">
        <w:tc>
          <w:tcPr>
            <w:tcW w:w="3681" w:type="dxa"/>
            <w:vMerge w:val="restart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Стрес</w:t>
            </w:r>
            <w:r w:rsidR="005535B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ов</w:t>
            </w: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сценарий</w:t>
            </w:r>
          </w:p>
        </w:tc>
        <w:tc>
          <w:tcPr>
            <w:tcW w:w="3827" w:type="dxa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54CCF" w:rsidRPr="00A24E76" w:rsidRDefault="00D344E5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7008.83</w:t>
            </w:r>
            <w:r w:rsidR="00C54CCF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C54CCF" w:rsidRPr="00A24E76" w:rsidTr="00C27091">
        <w:tc>
          <w:tcPr>
            <w:tcW w:w="3681" w:type="dxa"/>
            <w:vMerge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C54CCF" w:rsidRPr="00A24E76" w:rsidRDefault="005D6BD2" w:rsidP="00970226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C54CCF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54CCF" w:rsidRPr="00A24E76" w:rsidRDefault="00824FC3" w:rsidP="00D344E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D344E5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29.91</w:t>
            </w:r>
            <w:r w:rsidR="00C54CCF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C27091" w:rsidRPr="00A24E76" w:rsidTr="00C27091">
        <w:tc>
          <w:tcPr>
            <w:tcW w:w="3681" w:type="dxa"/>
            <w:vMerge w:val="restart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Неблагоприятен сценарий</w:t>
            </w:r>
          </w:p>
        </w:tc>
        <w:tc>
          <w:tcPr>
            <w:tcW w:w="3827" w:type="dxa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27091" w:rsidRPr="00A24E76" w:rsidRDefault="00D344E5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8889.63</w:t>
            </w:r>
            <w:r w:rsidR="00C27091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C27091" w:rsidRPr="00A24E76" w:rsidTr="00C27091">
        <w:tc>
          <w:tcPr>
            <w:tcW w:w="3681" w:type="dxa"/>
            <w:vMerge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Средна </w:t>
            </w:r>
            <w:r w:rsidR="005D6BD2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възвръ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27091" w:rsidRPr="00A24E76" w:rsidRDefault="00824FC3" w:rsidP="00D344E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D344E5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11.10</w:t>
            </w:r>
            <w:r w:rsidR="00C27091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5A25F9" w:rsidRPr="00A24E76" w:rsidTr="00C27091">
        <w:tc>
          <w:tcPr>
            <w:tcW w:w="3681" w:type="dxa"/>
            <w:vMerge w:val="restart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Неутрален сценарий</w:t>
            </w:r>
          </w:p>
        </w:tc>
        <w:tc>
          <w:tcPr>
            <w:tcW w:w="3827" w:type="dxa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A24E76" w:rsidRDefault="00D344E5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9871.53</w:t>
            </w:r>
            <w:r w:rsidR="005A25F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5A25F9" w:rsidRPr="00A24E76" w:rsidTr="00C27091">
        <w:tc>
          <w:tcPr>
            <w:tcW w:w="3681" w:type="dxa"/>
            <w:vMerge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A25F9" w:rsidRPr="00A24E76" w:rsidRDefault="005D6BD2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A24E76" w:rsidRDefault="00D344E5" w:rsidP="0034470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-1.28</w:t>
            </w:r>
            <w:r w:rsidR="005A25F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5A25F9" w:rsidRPr="00A24E76" w:rsidTr="00C27091">
        <w:tc>
          <w:tcPr>
            <w:tcW w:w="3681" w:type="dxa"/>
            <w:vMerge w:val="restart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Благоприятен сценарий</w:t>
            </w:r>
          </w:p>
        </w:tc>
        <w:tc>
          <w:tcPr>
            <w:tcW w:w="3827" w:type="dxa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A24E76" w:rsidRDefault="005A25F9" w:rsidP="00D344E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10</w:t>
            </w:r>
            <w:r w:rsidR="00D344E5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 923.18</w:t>
            </w: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5A25F9" w:rsidRPr="00A24E76" w:rsidTr="00C27091">
        <w:tc>
          <w:tcPr>
            <w:tcW w:w="3681" w:type="dxa"/>
            <w:vMerge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A25F9" w:rsidRPr="00A24E76" w:rsidRDefault="005D6BD2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A24E76" w:rsidRDefault="00D344E5" w:rsidP="00C27091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9.23</w:t>
            </w:r>
            <w:r w:rsidR="005A25F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</w:tbl>
    <w:p w:rsidR="00C54CCF" w:rsidRPr="00A24E76" w:rsidRDefault="00C54CCF" w:rsidP="00C27091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Тази таблица показва пазарна</w:t>
      </w:r>
      <w:r w:rsidR="00C7580A" w:rsidRPr="00A24E76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</w:t>
      </w:r>
      <w:r w:rsidR="00C7580A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договор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до падеж, при различни сценарии, при</w:t>
      </w:r>
      <w:r w:rsidR="00735F05">
        <w:rPr>
          <w:rFonts w:ascii="Bookman Old Style" w:hAnsi="Bookman Old Style" w:cs="Times New Roman"/>
          <w:sz w:val="16"/>
          <w:szCs w:val="16"/>
          <w:lang w:val="bg-BG"/>
        </w:rPr>
        <w:t xml:space="preserve"> допускането за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номинална сума от 10 000 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евро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Показаните сценарии илюстрират каква доходност би имал Вашия</w:t>
      </w:r>
      <w:r w:rsidR="00436F03" w:rsidRPr="00A24E76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6D2519" w:rsidRPr="00A24E76">
        <w:rPr>
          <w:rFonts w:ascii="Bookman Old Style" w:hAnsi="Bookman Old Style" w:cs="Times New Roman"/>
          <w:sz w:val="16"/>
          <w:szCs w:val="16"/>
          <w:lang w:val="bg-BG"/>
        </w:rPr>
        <w:t>договор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. Можете да ги сравните със сценариите за други продукти.</w:t>
      </w: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Пред</w:t>
      </w:r>
      <w:r w:rsidR="00735F05">
        <w:rPr>
          <w:rFonts w:ascii="Bookman Old Style" w:hAnsi="Bookman Old Style" w:cs="Times New Roman"/>
          <w:sz w:val="16"/>
          <w:szCs w:val="16"/>
          <w:lang w:val="bg-BG"/>
        </w:rPr>
        <w:t>ставените сценарии са прогноза з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а бъдещ</w:t>
      </w:r>
      <w:r w:rsidR="00735F05">
        <w:rPr>
          <w:rFonts w:ascii="Bookman Old Style" w:hAnsi="Bookman Old Style" w:cs="Times New Roman"/>
          <w:sz w:val="16"/>
          <w:szCs w:val="16"/>
          <w:lang w:val="bg-BG"/>
        </w:rPr>
        <w:t>ите резултати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на база данните до момента, но не са точен индикатор. </w:t>
      </w:r>
      <w:r w:rsidR="00C7580A" w:rsidRPr="00A24E76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азарна</w:t>
      </w:r>
      <w:r w:rsidR="006D2519" w:rsidRPr="00A24E76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договор ще варира в зависимост от това каква е ситуацията на пазара и колко дълго задържите продукта.</w:t>
      </w: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Стресовият сценарий показва реалната пазарна стойност на Вашия договор при екстремни пазарни условия и не отчита ситуацията, при която нямаме възможност да Ви платим.</w:t>
      </w: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Представените данни </w:t>
      </w:r>
      <w:r w:rsidR="00F23775" w:rsidRPr="00A24E76">
        <w:rPr>
          <w:rFonts w:ascii="Bookman Old Style" w:hAnsi="Bookman Old Style" w:cs="Times New Roman"/>
          <w:sz w:val="16"/>
          <w:szCs w:val="16"/>
          <w:lang w:val="bg-BG"/>
        </w:rPr>
        <w:t>включват всички разходи на самия продукт.</w:t>
      </w:r>
    </w:p>
    <w:p w:rsidR="00F23775" w:rsidRPr="00735F05" w:rsidRDefault="003E5A8F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735F05">
        <w:rPr>
          <w:rFonts w:ascii="Bookman Old Style" w:hAnsi="Bookman Old Style" w:cs="Cambria"/>
          <w:b/>
          <w:sz w:val="24"/>
          <w:szCs w:val="24"/>
          <w:lang w:val="bg-BG"/>
        </w:rPr>
        <w:t>Какво става, ако ОББ АД не е в състояние да изплати дължимата сума?</w:t>
      </w:r>
    </w:p>
    <w:p w:rsidR="008534BE" w:rsidRPr="00A24E76" w:rsidRDefault="00C7580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Изпълнението </w:t>
      </w:r>
      <w:r w:rsidR="008534BE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на договора зависи от </w:t>
      </w:r>
      <w:r w:rsidR="00735F05">
        <w:rPr>
          <w:rFonts w:ascii="Bookman Old Style" w:hAnsi="Bookman Old Style" w:cs="Times New Roman"/>
          <w:sz w:val="16"/>
          <w:szCs w:val="16"/>
          <w:lang w:val="bg-BG"/>
        </w:rPr>
        <w:t xml:space="preserve">платежоспособността </w:t>
      </w:r>
      <w:r w:rsidR="008534BE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на </w:t>
      </w:r>
      <w:r w:rsidR="005535B9" w:rsidRPr="00A24E76">
        <w:rPr>
          <w:rFonts w:ascii="Bookman Old Style" w:hAnsi="Bookman Old Style" w:cs="Times New Roman"/>
          <w:sz w:val="16"/>
          <w:szCs w:val="16"/>
          <w:lang w:val="bg-BG"/>
        </w:rPr>
        <w:t>ОББ АД</w:t>
      </w:r>
      <w:r w:rsidR="008534BE" w:rsidRPr="00A24E76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8534BE" w:rsidRPr="00735F05" w:rsidRDefault="008534BE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735F05">
        <w:rPr>
          <w:rFonts w:ascii="Bookman Old Style" w:hAnsi="Bookman Old Style" w:cs="Times New Roman"/>
          <w:b/>
          <w:sz w:val="24"/>
          <w:szCs w:val="24"/>
          <w:lang w:val="bg-BG"/>
        </w:rPr>
        <w:t>Какви са разходите?</w:t>
      </w:r>
    </w:p>
    <w:p w:rsidR="008534BE" w:rsidRPr="00A24E76" w:rsidRDefault="008534BE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Разходите във времето</w:t>
      </w:r>
    </w:p>
    <w:p w:rsidR="008534BE" w:rsidRPr="00A24E76" w:rsidRDefault="008534BE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lastRenderedPageBreak/>
        <w:t xml:space="preserve">Намаляването на 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доходността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Pr="00A24E76">
        <w:rPr>
          <w:rFonts w:ascii="Bookman Old Style" w:hAnsi="Bookman Old Style" w:cs="Times New Roman"/>
          <w:sz w:val="16"/>
          <w:szCs w:val="16"/>
        </w:rPr>
        <w:t>RIY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) показва въздействието на общата сума на разходите, които заплащате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върху 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резултатите от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продукта. Общата сума на разходите включва еднократните, текущите и инцидентните разходи. Показаните тук суми представляват кумул</w:t>
      </w:r>
      <w:r w:rsidR="00A0098F" w:rsidRPr="00A24E76">
        <w:rPr>
          <w:rFonts w:ascii="Bookman Old Style" w:hAnsi="Bookman Old Style" w:cs="Times New Roman"/>
          <w:sz w:val="16"/>
          <w:szCs w:val="16"/>
          <w:lang w:val="bg-BG"/>
        </w:rPr>
        <w:t>ативни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те</w:t>
      </w:r>
      <w:r w:rsidR="00A0098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разходи на самия продукт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C7580A" w:rsidRPr="00A24E76">
        <w:rPr>
          <w:rFonts w:ascii="Bookman Old Style" w:hAnsi="Bookman Old Style" w:cs="Times New Roman"/>
          <w:sz w:val="16"/>
          <w:szCs w:val="16"/>
          <w:lang w:val="bg-BG"/>
        </w:rPr>
        <w:t>за една сделка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. Те включват потенциални наказателни такси при 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предсрочно излизане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. Данните 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 xml:space="preserve">са при допускането за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номинална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стойност от 10 000 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евро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. Данните са прогнозни и биха могли да се променят в бъдеще.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5A25F9" w:rsidRPr="00A24E76" w:rsidTr="005A25F9">
        <w:tc>
          <w:tcPr>
            <w:tcW w:w="5382" w:type="dxa"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824FC3"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евро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:rsidR="008534BE" w:rsidRPr="00A24E76" w:rsidRDefault="008534BE" w:rsidP="00E9459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На падеж</w:t>
            </w:r>
          </w:p>
        </w:tc>
      </w:tr>
      <w:tr w:rsidR="005A25F9" w:rsidRPr="00A24E76" w:rsidTr="005A25F9">
        <w:tc>
          <w:tcPr>
            <w:tcW w:w="5382" w:type="dxa"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1559" w:type="dxa"/>
            <w:vMerge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8534BE" w:rsidRPr="00A24E76" w:rsidTr="00E9459C">
        <w:tc>
          <w:tcPr>
            <w:tcW w:w="5382" w:type="dxa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Обща сума на разходите</w:t>
            </w:r>
          </w:p>
        </w:tc>
        <w:tc>
          <w:tcPr>
            <w:tcW w:w="1559" w:type="dxa"/>
          </w:tcPr>
          <w:p w:rsidR="008534BE" w:rsidRPr="00A24E76" w:rsidRDefault="008534BE" w:rsidP="00E9459C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100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8534BE" w:rsidRPr="00A24E76" w:rsidTr="00E9459C">
        <w:tc>
          <w:tcPr>
            <w:tcW w:w="5382" w:type="dxa"/>
          </w:tcPr>
          <w:p w:rsidR="008534BE" w:rsidRPr="00A24E76" w:rsidRDefault="008534BE" w:rsidP="00D25254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 върху възвръщаемостта (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</w:rPr>
              <w:t>RIY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) на годи</w:t>
            </w:r>
            <w:r w:rsidR="00D25254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шна база</w:t>
            </w:r>
          </w:p>
        </w:tc>
        <w:tc>
          <w:tcPr>
            <w:tcW w:w="1559" w:type="dxa"/>
          </w:tcPr>
          <w:p w:rsidR="008534BE" w:rsidRPr="00A24E76" w:rsidRDefault="00E9459C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1,00%</w:t>
            </w:r>
          </w:p>
        </w:tc>
      </w:tr>
    </w:tbl>
    <w:p w:rsidR="008534BE" w:rsidRPr="00A24E76" w:rsidRDefault="008534BE" w:rsidP="00E9459C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A24E76" w:rsidRDefault="00E9459C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Състав на разходите</w:t>
      </w:r>
    </w:p>
    <w:p w:rsidR="00E9459C" w:rsidRPr="00A24E76" w:rsidRDefault="00E9459C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Следващата таблица показва:</w:t>
      </w:r>
    </w:p>
    <w:p w:rsidR="00E9459C" w:rsidRPr="00A24E76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Влиянието з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всяка година на различните видове разходи върху </w:t>
      </w:r>
      <w:r w:rsidR="00D25254">
        <w:rPr>
          <w:rFonts w:ascii="Bookman Old Style" w:hAnsi="Bookman Old Style" w:cs="Times New Roman"/>
          <w:sz w:val="16"/>
          <w:szCs w:val="16"/>
          <w:lang w:val="bg-BG"/>
        </w:rPr>
        <w:t xml:space="preserve">резултатите от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продукта при падеж;</w:t>
      </w:r>
    </w:p>
    <w:p w:rsidR="00E9459C" w:rsidRPr="00A24E76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Какво означават различните категории разходи.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2254"/>
        <w:gridCol w:w="1016"/>
        <w:gridCol w:w="3959"/>
      </w:tblGrid>
      <w:tr w:rsidR="00DD4216" w:rsidRPr="00A24E76" w:rsidTr="00DD4216">
        <w:tc>
          <w:tcPr>
            <w:tcW w:w="9209" w:type="dxa"/>
            <w:gridSpan w:val="4"/>
            <w:shd w:val="clear" w:color="auto" w:fill="00B0F0"/>
          </w:tcPr>
          <w:p w:rsidR="00E9459C" w:rsidRPr="00A24E76" w:rsidRDefault="00E9459C" w:rsidP="00D25254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Тази таблица показва влиянието </w:t>
            </w:r>
            <w:r w:rsidR="00D25254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върху</w:t>
            </w: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 възвръщаемостта на годи</w:t>
            </w:r>
            <w:r w:rsidR="00D25254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шна база</w:t>
            </w: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Еднократни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Разходи за влизане</w:t>
            </w:r>
          </w:p>
        </w:tc>
        <w:tc>
          <w:tcPr>
            <w:tcW w:w="1016" w:type="dxa"/>
          </w:tcPr>
          <w:p w:rsidR="00E9459C" w:rsidRPr="00A24E76" w:rsidRDefault="00824FC3" w:rsidP="00E9459C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1,00</w:t>
            </w:r>
            <w:r w:rsidR="00E9459C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%</w:t>
            </w:r>
          </w:p>
        </w:tc>
        <w:tc>
          <w:tcPr>
            <w:tcW w:w="3959" w:type="dxa"/>
          </w:tcPr>
          <w:p w:rsidR="00E9459C" w:rsidRPr="00A24E76" w:rsidRDefault="00E9459C" w:rsidP="00D25254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Влиянието на разходите, които вече са включени в цената. Това е максимална</w:t>
            </w:r>
            <w:r w:rsidR="00D25254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та сума, която може да платите</w:t>
            </w: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Текущи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1016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959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Инцидентни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1016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959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</w:tbl>
    <w:p w:rsidR="00E9459C" w:rsidRPr="00A24E76" w:rsidRDefault="00E9459C" w:rsidP="00DD4216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D25254" w:rsidRDefault="003E5A8F" w:rsidP="00E9459C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D25254">
        <w:rPr>
          <w:rFonts w:ascii="Bookman Old Style" w:hAnsi="Bookman Old Style" w:cs="Cambria"/>
          <w:b/>
          <w:sz w:val="24"/>
          <w:szCs w:val="24"/>
          <w:lang w:val="bg-BG"/>
        </w:rPr>
        <w:t>Колко дълго следва да държа парите си и мога ли да ги изтегля по-рано?</w:t>
      </w:r>
    </w:p>
    <w:p w:rsidR="00E9459C" w:rsidRPr="00A24E76" w:rsidRDefault="00D25254" w:rsidP="00E9459C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Препоръчителен период на </w:t>
      </w:r>
      <w:r w:rsidR="00E9459C"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държане: до падеж</w:t>
      </w:r>
    </w:p>
    <w:p w:rsidR="003E5A8F" w:rsidRPr="00A24E76" w:rsidRDefault="003E5A8F" w:rsidP="003E5A8F">
      <w:pPr>
        <w:rPr>
          <w:rFonts w:ascii="Bookman Old Style" w:hAnsi="Bookman Old Style"/>
          <w:sz w:val="16"/>
          <w:szCs w:val="16"/>
          <w:lang w:val="bg-BG"/>
        </w:rPr>
      </w:pPr>
      <w:r w:rsidRPr="00A24E76">
        <w:rPr>
          <w:rFonts w:ascii="Bookman Old Style" w:hAnsi="Bookman Old Style"/>
          <w:sz w:val="16"/>
          <w:szCs w:val="16"/>
          <w:lang w:val="bg-BG"/>
        </w:rPr>
        <w:t xml:space="preserve">Сключването на сделки с </w:t>
      </w:r>
      <w:r w:rsidR="00D25254">
        <w:rPr>
          <w:rFonts w:ascii="Bookman Old Style" w:hAnsi="Bookman Old Style"/>
          <w:sz w:val="16"/>
          <w:szCs w:val="16"/>
          <w:lang w:val="bg-BG"/>
        </w:rPr>
        <w:t xml:space="preserve">валутни </w:t>
      </w:r>
      <w:r w:rsidRPr="00A24E76">
        <w:rPr>
          <w:rFonts w:ascii="Bookman Old Style" w:hAnsi="Bookman Old Style"/>
          <w:sz w:val="16"/>
          <w:szCs w:val="16"/>
          <w:lang w:val="bg-BG"/>
        </w:rPr>
        <w:t xml:space="preserve">деривати представлява </w:t>
      </w:r>
      <w:r w:rsidR="00D25254">
        <w:rPr>
          <w:rFonts w:ascii="Bookman Old Style" w:hAnsi="Bookman Old Style"/>
          <w:sz w:val="16"/>
          <w:szCs w:val="16"/>
          <w:lang w:val="bg-BG"/>
        </w:rPr>
        <w:t>твърд</w:t>
      </w:r>
      <w:r w:rsidRPr="00A24E76">
        <w:rPr>
          <w:rFonts w:ascii="Bookman Old Style" w:hAnsi="Bookman Old Style"/>
          <w:sz w:val="16"/>
          <w:szCs w:val="16"/>
          <w:lang w:val="bg-BG"/>
        </w:rPr>
        <w:t xml:space="preserve"> ангажимент и за двете страни по сделката.</w:t>
      </w:r>
    </w:p>
    <w:p w:rsidR="003E5A8F" w:rsidRPr="00A24E76" w:rsidRDefault="00C136CE" w:rsidP="003E5A8F">
      <w:pPr>
        <w:rPr>
          <w:rFonts w:ascii="Bookman Old Style" w:hAnsi="Bookman Old Style"/>
          <w:sz w:val="16"/>
          <w:szCs w:val="16"/>
          <w:lang w:val="bg-BG"/>
        </w:rPr>
      </w:pPr>
      <w:r>
        <w:rPr>
          <w:rFonts w:ascii="Bookman Old Style" w:hAnsi="Bookman Old Style"/>
          <w:sz w:val="16"/>
          <w:szCs w:val="16"/>
          <w:lang w:val="bg-BG"/>
        </w:rPr>
        <w:t>При</w:t>
      </w:r>
      <w:r w:rsidR="003E5A8F" w:rsidRPr="00A24E76">
        <w:rPr>
          <w:rFonts w:ascii="Bookman Old Style" w:hAnsi="Bookman Old Style"/>
          <w:sz w:val="16"/>
          <w:szCs w:val="16"/>
          <w:lang w:val="bg-BG"/>
        </w:rPr>
        <w:t xml:space="preserve"> сключване на </w:t>
      </w:r>
      <w:r w:rsidR="00A6435E">
        <w:rPr>
          <w:rFonts w:ascii="Bookman Old Style" w:hAnsi="Bookman Old Style"/>
          <w:sz w:val="16"/>
          <w:szCs w:val="16"/>
          <w:lang w:val="bg-BG"/>
        </w:rPr>
        <w:t xml:space="preserve">отворен </w:t>
      </w:r>
      <w:r w:rsidR="003E5A8F" w:rsidRPr="00A24E76">
        <w:rPr>
          <w:rFonts w:ascii="Bookman Old Style" w:hAnsi="Bookman Old Style"/>
          <w:sz w:val="16"/>
          <w:szCs w:val="16"/>
          <w:lang w:val="bg-BG"/>
        </w:rPr>
        <w:t xml:space="preserve">валутен </w:t>
      </w:r>
      <w:proofErr w:type="spellStart"/>
      <w:r w:rsidR="003E5A8F" w:rsidRPr="00A24E76">
        <w:rPr>
          <w:rFonts w:ascii="Bookman Old Style" w:hAnsi="Bookman Old Style"/>
          <w:sz w:val="16"/>
          <w:szCs w:val="16"/>
          <w:lang w:val="bg-BG"/>
        </w:rPr>
        <w:t>форуърд</w:t>
      </w:r>
      <w:proofErr w:type="spellEnd"/>
      <w:r w:rsidR="003E5A8F" w:rsidRPr="00A24E76">
        <w:rPr>
          <w:rFonts w:ascii="Bookman Old Style" w:hAnsi="Bookman Old Style"/>
          <w:sz w:val="16"/>
          <w:szCs w:val="16"/>
          <w:lang w:val="bg-BG"/>
        </w:rPr>
        <w:t xml:space="preserve"> </w:t>
      </w:r>
      <w:r w:rsidR="00A6435E">
        <w:rPr>
          <w:rFonts w:ascii="Bookman Old Style" w:hAnsi="Bookman Old Style"/>
          <w:sz w:val="16"/>
          <w:szCs w:val="16"/>
          <w:lang w:val="bg-BG"/>
        </w:rPr>
        <w:t>в договорения</w:t>
      </w:r>
      <w:r w:rsidR="003E5A8F" w:rsidRPr="00A24E76">
        <w:rPr>
          <w:rFonts w:ascii="Bookman Old Style" w:hAnsi="Bookman Old Style"/>
          <w:sz w:val="16"/>
          <w:szCs w:val="16"/>
          <w:lang w:val="bg-BG"/>
        </w:rPr>
        <w:t xml:space="preserve"> </w:t>
      </w:r>
      <w:r w:rsidR="00A6435E">
        <w:rPr>
          <w:rFonts w:ascii="Bookman Old Style" w:hAnsi="Bookman Old Style"/>
          <w:sz w:val="16"/>
          <w:szCs w:val="16"/>
          <w:lang w:val="bg-BG"/>
        </w:rPr>
        <w:t xml:space="preserve">период </w:t>
      </w:r>
      <w:r w:rsidR="003E5A8F" w:rsidRPr="00A24E76">
        <w:rPr>
          <w:rFonts w:ascii="Bookman Old Style" w:hAnsi="Bookman Old Style"/>
          <w:sz w:val="16"/>
          <w:szCs w:val="16"/>
          <w:lang w:val="bg-BG"/>
        </w:rPr>
        <w:t>клиентът е длъжен да изпълни поетото задължение за покупко-продажба на договорената сума по предварително договорения курс. Сделката не може да бъде прекратена или отменена.</w:t>
      </w:r>
    </w:p>
    <w:p w:rsidR="003E5A8F" w:rsidRPr="00A24E76" w:rsidRDefault="003E5A8F" w:rsidP="003E5A8F">
      <w:pPr>
        <w:rPr>
          <w:rFonts w:ascii="Bookman Old Style" w:hAnsi="Bookman Old Style"/>
          <w:sz w:val="16"/>
          <w:szCs w:val="16"/>
          <w:lang w:val="bg-BG"/>
        </w:rPr>
      </w:pPr>
      <w:r w:rsidRPr="00A24E76">
        <w:rPr>
          <w:rFonts w:ascii="Bookman Old Style" w:hAnsi="Bookman Old Style"/>
          <w:sz w:val="16"/>
          <w:szCs w:val="16"/>
          <w:lang w:val="bg-BG"/>
        </w:rPr>
        <w:t>Възможно е частично или пълно за</w:t>
      </w:r>
      <w:r w:rsidR="00C136CE">
        <w:rPr>
          <w:rFonts w:ascii="Bookman Old Style" w:hAnsi="Bookman Old Style"/>
          <w:sz w:val="16"/>
          <w:szCs w:val="16"/>
          <w:lang w:val="bg-BG"/>
        </w:rPr>
        <w:t xml:space="preserve">тваряне </w:t>
      </w:r>
      <w:r w:rsidRPr="00A24E76">
        <w:rPr>
          <w:rFonts w:ascii="Bookman Old Style" w:hAnsi="Bookman Old Style"/>
          <w:sz w:val="16"/>
          <w:szCs w:val="16"/>
          <w:lang w:val="bg-BG"/>
        </w:rPr>
        <w:t>на позицията посредством сключване на насрещна сделка със същия инструмент.</w:t>
      </w:r>
    </w:p>
    <w:p w:rsidR="003E5A8F" w:rsidRPr="00C136CE" w:rsidRDefault="003E5A8F" w:rsidP="003E5A8F">
      <w:pPr>
        <w:pStyle w:val="NormalWeb"/>
        <w:spacing w:before="0" w:beforeAutospacing="0" w:after="0" w:afterAutospacing="0"/>
        <w:rPr>
          <w:rFonts w:ascii="Bookman Old Style" w:eastAsiaTheme="minorHAnsi" w:hAnsi="Bookman Old Style" w:cs="Cambria"/>
          <w:b/>
          <w:lang w:val="bg-BG" w:eastAsia="en-US"/>
        </w:rPr>
      </w:pPr>
      <w:r w:rsidRPr="00C136CE">
        <w:rPr>
          <w:rFonts w:ascii="Bookman Old Style" w:eastAsiaTheme="minorHAnsi" w:hAnsi="Bookman Old Style" w:cs="Cambria"/>
          <w:b/>
          <w:lang w:val="bg-BG" w:eastAsia="en-US"/>
        </w:rPr>
        <w:t xml:space="preserve">Как мога да подам жалба?  </w:t>
      </w:r>
      <w:bookmarkStart w:id="1" w:name="_Toc458181190"/>
      <w:bookmarkStart w:id="2" w:name="_Toc458181285"/>
      <w:bookmarkStart w:id="3" w:name="_Toc458181317"/>
    </w:p>
    <w:p w:rsidR="003E5A8F" w:rsidRPr="00A24E76" w:rsidRDefault="000C2D6C" w:rsidP="003E5A8F">
      <w:pPr>
        <w:pStyle w:val="NormalWeb"/>
        <w:spacing w:before="0" w:beforeAutospacing="0" w:after="0" w:afterAutospacing="0"/>
        <w:rPr>
          <w:rFonts w:ascii="Bookman Old Style" w:hAnsi="Bookman Old Style"/>
          <w:sz w:val="16"/>
          <w:szCs w:val="16"/>
        </w:rPr>
      </w:pPr>
      <w:r w:rsidRPr="00A24E76">
        <w:rPr>
          <w:rFonts w:ascii="Bookman Old Style" w:hAnsi="Bookman Old Style" w:cstheme="minorHAnsi"/>
          <w:sz w:val="16"/>
          <w:szCs w:val="16"/>
          <w:lang w:val="bg-BG"/>
        </w:rPr>
        <w:t>Жалби във връзка с продукта</w:t>
      </w:r>
      <w:r w:rsidRPr="00A24E76">
        <w:rPr>
          <w:rFonts w:ascii="Bookman Old Style" w:hAnsi="Bookman Old Style" w:cstheme="minorHAnsi"/>
          <w:sz w:val="16"/>
          <w:szCs w:val="16"/>
          <w:lang w:val="en-US"/>
        </w:rPr>
        <w:t xml:space="preserve"> 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>следва да бъдат подавани в писмен вид до адрес</w:t>
      </w:r>
      <w:r w:rsidRPr="00A24E76">
        <w:rPr>
          <w:rFonts w:ascii="Bookman Old Style" w:hAnsi="Bookman Old Style" w:cstheme="minorHAnsi"/>
          <w:sz w:val="16"/>
          <w:szCs w:val="16"/>
          <w:lang w:val="en-US"/>
        </w:rPr>
        <w:t>: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  гр. София 1463, бул. „Витоша</w:t>
      </w:r>
      <w:r w:rsidR="001875C5" w:rsidRPr="00A24E76">
        <w:rPr>
          <w:rFonts w:ascii="Bookman Old Style" w:hAnsi="Bookman Old Style" w:cstheme="minorHAnsi"/>
          <w:sz w:val="16"/>
          <w:szCs w:val="16"/>
          <w:lang w:val="bg-BG"/>
        </w:rPr>
        <w:t>“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 89Б ,</w:t>
      </w:r>
      <w:r w:rsidR="003E5A8F"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по електронна поща на </w:t>
      </w:r>
      <w:hyperlink r:id="rId9" w:history="1">
        <w:r w:rsidR="003E5A8F" w:rsidRPr="00A24E76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en-US" w:eastAsia="en-US"/>
          </w:rPr>
          <w:t>jalbi</w:t>
        </w:r>
        <w:r w:rsidR="003E5A8F" w:rsidRPr="00A24E76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bg-BG" w:eastAsia="en-US"/>
          </w:rPr>
          <w:t>@ubb.bg</w:t>
        </w:r>
      </w:hyperlink>
      <w:r w:rsidR="003E5A8F" w:rsidRPr="00A24E76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bg-BG" w:eastAsia="en-US"/>
        </w:rPr>
        <w:t xml:space="preserve"> </w:t>
      </w:r>
      <w:proofErr w:type="spellStart"/>
      <w:r w:rsidR="003E5A8F" w:rsidRPr="00A24E76">
        <w:rPr>
          <w:rFonts w:ascii="Bookman Old Style" w:hAnsi="Bookman Old Style"/>
          <w:sz w:val="16"/>
          <w:szCs w:val="16"/>
        </w:rPr>
        <w:t>или</w:t>
      </w:r>
      <w:proofErr w:type="spellEnd"/>
      <w:r w:rsidR="003E5A8F" w:rsidRPr="00A24E76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3E5A8F" w:rsidRPr="00A24E76">
        <w:rPr>
          <w:rFonts w:ascii="Bookman Old Style" w:hAnsi="Bookman Old Style"/>
          <w:sz w:val="16"/>
          <w:szCs w:val="16"/>
        </w:rPr>
        <w:t>на</w:t>
      </w:r>
      <w:proofErr w:type="spellEnd"/>
      <w:r w:rsidR="003E5A8F" w:rsidRPr="00A24E76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3E5A8F" w:rsidRPr="00A24E76">
        <w:rPr>
          <w:rFonts w:ascii="Bookman Old Style" w:hAnsi="Bookman Old Style"/>
          <w:sz w:val="16"/>
          <w:szCs w:val="16"/>
        </w:rPr>
        <w:t>телефон</w:t>
      </w:r>
      <w:proofErr w:type="spellEnd"/>
      <w:r w:rsidR="003E5A8F" w:rsidRPr="00A24E76">
        <w:rPr>
          <w:rFonts w:ascii="Bookman Old Style" w:hAnsi="Bookman Old Style"/>
          <w:sz w:val="16"/>
          <w:szCs w:val="16"/>
        </w:rPr>
        <w:t xml:space="preserve"> </w:t>
      </w:r>
    </w:p>
    <w:p w:rsidR="00E9459C" w:rsidRPr="00A24E76" w:rsidRDefault="003E5A8F" w:rsidP="003E5A8F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A24E76">
        <w:rPr>
          <w:rFonts w:ascii="Bookman Old Style" w:hAnsi="Bookman Old Style"/>
          <w:b/>
          <w:sz w:val="16"/>
          <w:szCs w:val="16"/>
        </w:rPr>
        <w:t>0700 117 17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 както и на </w:t>
      </w:r>
      <w:r w:rsidR="000C2D6C" w:rsidRPr="00A24E76">
        <w:rPr>
          <w:rFonts w:ascii="Bookman Old Style" w:hAnsi="Bookman Old Style" w:cstheme="minorHAnsi"/>
          <w:sz w:val="16"/>
          <w:szCs w:val="16"/>
          <w:lang w:val="bg-BG"/>
        </w:rPr>
        <w:t>уеб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сайта на Банката </w:t>
      </w:r>
      <w:bookmarkEnd w:id="1"/>
      <w:bookmarkEnd w:id="2"/>
      <w:bookmarkEnd w:id="3"/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fldChar w:fldCharType="begin"/>
      </w:r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instrText xml:space="preserve"> HYPERLINK "https://www.ubb.bg/contacts/feedback" </w:instrText>
      </w:r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fldChar w:fldCharType="separate"/>
      </w:r>
      <w:r w:rsidRPr="00A24E76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en-US"/>
        </w:rPr>
        <w:t>https://www.ubb.bg/contacts/feedback</w:t>
      </w:r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  <w:fldChar w:fldCharType="end"/>
      </w:r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t>   </w:t>
      </w:r>
      <w:r w:rsidRPr="00A24E76" w:rsidDel="003E5A8F">
        <w:rPr>
          <w:rFonts w:ascii="Bookman Old Style" w:hAnsi="Bookman Old Style" w:cs="Times New Roman"/>
          <w:b/>
          <w:sz w:val="16"/>
          <w:szCs w:val="16"/>
          <w:lang w:val="bg-BG"/>
        </w:rPr>
        <w:t xml:space="preserve"> </w:t>
      </w:r>
    </w:p>
    <w:p w:rsidR="000C2D6C" w:rsidRPr="00C136CE" w:rsidRDefault="000C2D6C" w:rsidP="000C2D6C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C136CE">
        <w:rPr>
          <w:rFonts w:ascii="Bookman Old Style" w:hAnsi="Bookman Old Style" w:cs="Cambria"/>
          <w:b/>
          <w:sz w:val="24"/>
          <w:szCs w:val="24"/>
          <w:lang w:val="bg-BG"/>
        </w:rPr>
        <w:t>Друга полезна информация</w:t>
      </w:r>
    </w:p>
    <w:p w:rsidR="000C2D6C" w:rsidRPr="00A24E76" w:rsidRDefault="000C2D6C" w:rsidP="000C2D6C">
      <w:pPr>
        <w:jc w:val="both"/>
        <w:rPr>
          <w:rFonts w:ascii="Bookman Old Style" w:hAnsi="Bookman Old Style" w:cstheme="minorHAnsi"/>
          <w:sz w:val="16"/>
          <w:szCs w:val="16"/>
          <w:lang w:val="bg-BG"/>
        </w:rPr>
      </w:pP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Допълнителна информация за продукта може да намерите на уебсайта на Банката:  </w:t>
      </w:r>
    </w:p>
    <w:p w:rsidR="000C2D6C" w:rsidRPr="00A24E76" w:rsidRDefault="000C2D6C" w:rsidP="000C2D6C">
      <w:pPr>
        <w:pStyle w:val="ListParagraph"/>
        <w:numPr>
          <w:ilvl w:val="0"/>
          <w:numId w:val="5"/>
        </w:numPr>
        <w:jc w:val="both"/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</w:pP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за корпоративни клиенти на </w:t>
      </w:r>
      <w:hyperlink r:id="rId10" w:history="1">
        <w:r w:rsidRPr="00A24E76">
          <w:rPr>
            <w:rStyle w:val="Hyperlink"/>
            <w:rFonts w:ascii="Bookman Old Style" w:hAnsi="Bookman Old Style" w:cstheme="minorHAnsi"/>
            <w:sz w:val="16"/>
            <w:szCs w:val="16"/>
            <w:lang w:val="bg-BG"/>
          </w:rPr>
          <w:t>https://www.ubb.bg/business-clients/business-treasury/business-derivati-i-drugi-finansovi-instrumenti</w:t>
        </w:r>
      </w:hyperlink>
    </w:p>
    <w:p w:rsidR="000C2D6C" w:rsidRPr="00A24E76" w:rsidRDefault="000C2D6C" w:rsidP="003E5A8F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sectPr w:rsidR="000C2D6C" w:rsidRPr="00A24E76" w:rsidSect="002E0F29">
      <w:headerReference w:type="default" r:id="rId11"/>
      <w:pgSz w:w="16838" w:h="11906" w:orient="landscape"/>
      <w:pgMar w:top="1134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3E" w:rsidRDefault="000F223E" w:rsidP="003E5A8F">
      <w:pPr>
        <w:spacing w:after="0" w:line="240" w:lineRule="auto"/>
      </w:pPr>
      <w:r>
        <w:separator/>
      </w:r>
    </w:p>
  </w:endnote>
  <w:endnote w:type="continuationSeparator" w:id="0">
    <w:p w:rsidR="000F223E" w:rsidRDefault="000F223E" w:rsidP="003E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3E" w:rsidRDefault="000F223E" w:rsidP="003E5A8F">
      <w:pPr>
        <w:spacing w:after="0" w:line="240" w:lineRule="auto"/>
      </w:pPr>
      <w:r>
        <w:separator/>
      </w:r>
    </w:p>
  </w:footnote>
  <w:footnote w:type="continuationSeparator" w:id="0">
    <w:p w:rsidR="000F223E" w:rsidRDefault="000F223E" w:rsidP="003E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8F" w:rsidRDefault="003E5A8F">
    <w:pPr>
      <w:pStyle w:val="Header"/>
    </w:pPr>
    <w:r w:rsidRPr="00F042D8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inline distT="0" distB="0" distL="0" distR="0" wp14:anchorId="02717AC3" wp14:editId="567F370C">
          <wp:extent cx="665683" cy="519379"/>
          <wp:effectExtent l="0" t="0" r="1270" b="0"/>
          <wp:docPr id="1" name="Picture 1" descr="http://unitedforyou/Blanki/UBB_LOGOS_BG_Part%20of%20KBC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unitedforyou/Blanki/UBB_LOGOS_BG_Part%20of%20KBC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77" cy="56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039"/>
    <w:multiLevelType w:val="hybridMultilevel"/>
    <w:tmpl w:val="2B7E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8CE"/>
    <w:multiLevelType w:val="hybridMultilevel"/>
    <w:tmpl w:val="9DA6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7B95"/>
    <w:multiLevelType w:val="hybridMultilevel"/>
    <w:tmpl w:val="3F82DA32"/>
    <w:lvl w:ilvl="0" w:tplc="681A12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8141D2"/>
    <w:multiLevelType w:val="hybridMultilevel"/>
    <w:tmpl w:val="A2A2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5476"/>
    <w:multiLevelType w:val="hybridMultilevel"/>
    <w:tmpl w:val="DD4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A"/>
    <w:rsid w:val="00077934"/>
    <w:rsid w:val="000C2D6C"/>
    <w:rsid w:val="000F223E"/>
    <w:rsid w:val="00150695"/>
    <w:rsid w:val="00171600"/>
    <w:rsid w:val="00186D6F"/>
    <w:rsid w:val="001875C5"/>
    <w:rsid w:val="001F623A"/>
    <w:rsid w:val="00211DBF"/>
    <w:rsid w:val="002127BA"/>
    <w:rsid w:val="00275317"/>
    <w:rsid w:val="00294EBC"/>
    <w:rsid w:val="002A2F18"/>
    <w:rsid w:val="002E0F29"/>
    <w:rsid w:val="00317E13"/>
    <w:rsid w:val="00324728"/>
    <w:rsid w:val="003317E4"/>
    <w:rsid w:val="00344705"/>
    <w:rsid w:val="003B3B74"/>
    <w:rsid w:val="003E5A8F"/>
    <w:rsid w:val="00436F03"/>
    <w:rsid w:val="00474575"/>
    <w:rsid w:val="004D4914"/>
    <w:rsid w:val="004E3B23"/>
    <w:rsid w:val="00520E0D"/>
    <w:rsid w:val="00526117"/>
    <w:rsid w:val="005535B9"/>
    <w:rsid w:val="005A25F9"/>
    <w:rsid w:val="005A4B33"/>
    <w:rsid w:val="005D6BD2"/>
    <w:rsid w:val="00657427"/>
    <w:rsid w:val="00662B5F"/>
    <w:rsid w:val="00673DAD"/>
    <w:rsid w:val="006D2519"/>
    <w:rsid w:val="007141F7"/>
    <w:rsid w:val="00731B89"/>
    <w:rsid w:val="00735F05"/>
    <w:rsid w:val="007E0565"/>
    <w:rsid w:val="007E1C4D"/>
    <w:rsid w:val="00824325"/>
    <w:rsid w:val="00824FC3"/>
    <w:rsid w:val="00846086"/>
    <w:rsid w:val="008534BE"/>
    <w:rsid w:val="008A4018"/>
    <w:rsid w:val="00906DF8"/>
    <w:rsid w:val="00970226"/>
    <w:rsid w:val="00992291"/>
    <w:rsid w:val="00995A0A"/>
    <w:rsid w:val="009F4658"/>
    <w:rsid w:val="00A0098F"/>
    <w:rsid w:val="00A24E76"/>
    <w:rsid w:val="00A26851"/>
    <w:rsid w:val="00A6435E"/>
    <w:rsid w:val="00AB26BD"/>
    <w:rsid w:val="00BB4973"/>
    <w:rsid w:val="00C136CE"/>
    <w:rsid w:val="00C27091"/>
    <w:rsid w:val="00C31F63"/>
    <w:rsid w:val="00C54CCF"/>
    <w:rsid w:val="00C7580A"/>
    <w:rsid w:val="00CF0233"/>
    <w:rsid w:val="00D25254"/>
    <w:rsid w:val="00D254D7"/>
    <w:rsid w:val="00D26B0C"/>
    <w:rsid w:val="00D344E5"/>
    <w:rsid w:val="00D62CBA"/>
    <w:rsid w:val="00D93C18"/>
    <w:rsid w:val="00DD199F"/>
    <w:rsid w:val="00DD4216"/>
    <w:rsid w:val="00E073EE"/>
    <w:rsid w:val="00E3324B"/>
    <w:rsid w:val="00E45307"/>
    <w:rsid w:val="00E50F4D"/>
    <w:rsid w:val="00E9459C"/>
    <w:rsid w:val="00EA41A7"/>
    <w:rsid w:val="00F06D54"/>
    <w:rsid w:val="00F23775"/>
    <w:rsid w:val="00F338B6"/>
    <w:rsid w:val="00F367E8"/>
    <w:rsid w:val="00FA089A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FB1C16-000B-4D8C-BE5B-239123EB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B23"/>
    <w:pPr>
      <w:ind w:left="720"/>
      <w:contextualSpacing/>
    </w:pPr>
  </w:style>
  <w:style w:type="character" w:styleId="Hyperlink">
    <w:name w:val="Hyperlink"/>
    <w:aliases w:val="Header Char1"/>
    <w:basedOn w:val="DefaultParagraphFont"/>
    <w:uiPriority w:val="99"/>
    <w:unhideWhenUsed/>
    <w:rsid w:val="00E94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E5A8F"/>
    <w:pPr>
      <w:widowControl w:val="0"/>
      <w:spacing w:after="0" w:line="240" w:lineRule="auto"/>
    </w:pPr>
    <w:rPr>
      <w:rFonts w:ascii="Calibri" w:eastAsia="Calibri" w:hAnsi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E5A8F"/>
    <w:rPr>
      <w:rFonts w:ascii="Calibri" w:eastAsia="Calibri" w:hAnsi="Calibri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5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A8F"/>
  </w:style>
  <w:style w:type="paragraph" w:styleId="Footer">
    <w:name w:val="footer"/>
    <w:basedOn w:val="Normal"/>
    <w:link w:val="FooterChar"/>
    <w:uiPriority w:val="99"/>
    <w:unhideWhenUsed/>
    <w:rsid w:val="003E5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8F"/>
  </w:style>
  <w:style w:type="paragraph" w:customStyle="1" w:styleId="WKN">
    <w:name w:val="WKN"/>
    <w:aliases w:val="Emittent"/>
    <w:basedOn w:val="Normal"/>
    <w:uiPriority w:val="99"/>
    <w:rsid w:val="003E5A8F"/>
    <w:pPr>
      <w:tabs>
        <w:tab w:val="left" w:pos="2268"/>
        <w:tab w:val="left" w:pos="4536"/>
      </w:tabs>
      <w:spacing w:before="120" w:after="80" w:line="210" w:lineRule="atLeast"/>
    </w:pPr>
    <w:rPr>
      <w:rFonts w:ascii="Arial" w:eastAsia="Times New Roman" w:hAnsi="Arial" w:cs="Times New Roman"/>
      <w:b/>
      <w:color w:val="00408A"/>
      <w:szCs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3E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bb.bg/business-clients/business-treasury/business-derivati-i-drugi-finansovi-instru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lbi@ub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Petar S. Tabanov</cp:lastModifiedBy>
  <cp:revision>3</cp:revision>
  <dcterms:created xsi:type="dcterms:W3CDTF">2020-11-06T08:13:00Z</dcterms:created>
  <dcterms:modified xsi:type="dcterms:W3CDTF">2020-11-06T09:22:00Z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UBB\je52949</vt:lpwstr>
  </property>
  <property fmtid="{D5CDD505-2E9C-101B-9397-08002B2CF9AE}" pid="4" name="DLPManualFileClassificationLastModificationDate">
    <vt:lpwstr>1570796249</vt:lpwstr>
  </property>
  <property fmtid="{D5CDD505-2E9C-101B-9397-08002B2CF9AE}" pid="5" name="DLPManualFileClassificationVersion">
    <vt:lpwstr>11.1.0.61</vt:lpwstr>
  </property>
</Properties>
</file>